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E519" w14:textId="77777777" w:rsidR="0080610F" w:rsidRDefault="004731CF">
      <w:pPr>
        <w:pStyle w:val="Title"/>
      </w:pPr>
      <w:r>
        <w:t>Колебания цепочек</w:t>
      </w:r>
    </w:p>
    <w:p w14:paraId="6F0FCEDE" w14:textId="77777777" w:rsidR="0080610F" w:rsidRDefault="004731CF">
      <w:pPr>
        <w:pStyle w:val="Author"/>
      </w:pPr>
      <w:r>
        <w:t>Гебриал Ибрам Есам Зекри НПИ-01-18</w:t>
      </w:r>
    </w:p>
    <w:p w14:paraId="4C8002E0" w14:textId="77777777" w:rsidR="0080610F" w:rsidRDefault="004731CF">
      <w:pPr>
        <w:pStyle w:val="Author"/>
      </w:pPr>
      <w:r>
        <w:t>Каримов Зуфар Исматович НПИ-01-18</w:t>
      </w:r>
    </w:p>
    <w:p w14:paraId="65FB1853" w14:textId="77777777" w:rsidR="0080610F" w:rsidRDefault="004731CF">
      <w:pPr>
        <w:pStyle w:val="Author"/>
      </w:pPr>
      <w:r>
        <w:t>Волков Тимофей Евгеньевич НПИ-01-18</w:t>
      </w:r>
    </w:p>
    <w:p w14:paraId="6CE116E5" w14:textId="77777777" w:rsidR="0080610F" w:rsidRDefault="004731CF">
      <w:pPr>
        <w:pStyle w:val="Author"/>
      </w:pPr>
      <w:r>
        <w:t>Гаджиев Нурсултан Тофик оглы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97297620"/>
        <w:docPartObj>
          <w:docPartGallery w:val="Table of Contents"/>
          <w:docPartUnique/>
        </w:docPartObj>
      </w:sdtPr>
      <w:sdtEndPr/>
      <w:sdtContent>
        <w:p w14:paraId="12383ADE" w14:textId="77777777" w:rsidR="0080610F" w:rsidRDefault="004731CF">
          <w:pPr>
            <w:pStyle w:val="TOCHeading"/>
          </w:pPr>
          <w:r>
            <w:t>Содержание</w:t>
          </w:r>
        </w:p>
        <w:p w14:paraId="12370AE0" w14:textId="77777777" w:rsidR="00A65725" w:rsidRDefault="004731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65725">
            <w:fldChar w:fldCharType="separate"/>
          </w:r>
          <w:hyperlink w:anchor="_Toc65608781" w:history="1">
            <w:r w:rsidR="00A65725" w:rsidRPr="00A2072D">
              <w:rPr>
                <w:rStyle w:val="Hyperlink"/>
                <w:noProof/>
              </w:rPr>
              <w:t>Цель работы</w:t>
            </w:r>
            <w:r w:rsidR="00A65725">
              <w:rPr>
                <w:noProof/>
                <w:webHidden/>
              </w:rPr>
              <w:tab/>
            </w:r>
            <w:r w:rsidR="00A65725">
              <w:rPr>
                <w:noProof/>
                <w:webHidden/>
              </w:rPr>
              <w:fldChar w:fldCharType="begin"/>
            </w:r>
            <w:r w:rsidR="00A65725">
              <w:rPr>
                <w:noProof/>
                <w:webHidden/>
              </w:rPr>
              <w:instrText xml:space="preserve"> PAGEREF _Toc65608781 \h </w:instrText>
            </w:r>
            <w:r w:rsidR="00A65725">
              <w:rPr>
                <w:noProof/>
                <w:webHidden/>
              </w:rPr>
            </w:r>
            <w:r w:rsidR="00A65725">
              <w:rPr>
                <w:noProof/>
                <w:webHidden/>
              </w:rPr>
              <w:fldChar w:fldCharType="separate"/>
            </w:r>
            <w:r w:rsidR="00A65725">
              <w:rPr>
                <w:noProof/>
                <w:webHidden/>
              </w:rPr>
              <w:t>1</w:t>
            </w:r>
            <w:r w:rsidR="00A65725">
              <w:rPr>
                <w:noProof/>
                <w:webHidden/>
              </w:rPr>
              <w:fldChar w:fldCharType="end"/>
            </w:r>
          </w:hyperlink>
        </w:p>
        <w:p w14:paraId="64A8FE00" w14:textId="77777777" w:rsidR="00A65725" w:rsidRDefault="00A657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608782" w:history="1">
            <w:r w:rsidRPr="00A2072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42E8" w14:textId="77777777" w:rsidR="00A65725" w:rsidRDefault="00A657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608783" w:history="1">
            <w:r w:rsidRPr="00A2072D">
              <w:rPr>
                <w:rStyle w:val="Hyperlink"/>
                <w:noProof/>
              </w:rPr>
              <w:t>Гармонические осцилляторы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9041" w14:textId="77777777" w:rsidR="00A65725" w:rsidRDefault="00A657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608784" w:history="1">
            <w:r w:rsidRPr="00A2072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DC83" w14:textId="77777777" w:rsidR="0080610F" w:rsidRDefault="004731CF">
          <w:r>
            <w:fldChar w:fldCharType="end"/>
          </w:r>
        </w:p>
      </w:sdtContent>
    </w:sdt>
    <w:p w14:paraId="7B7E71B1" w14:textId="77777777" w:rsidR="0080610F" w:rsidRDefault="004731CF">
      <w:pPr>
        <w:pStyle w:val="Heading1"/>
      </w:pPr>
      <w:bookmarkStart w:id="0" w:name="цель-работы"/>
      <w:bookmarkStart w:id="1" w:name="_Toc65608781"/>
      <w:r>
        <w:t>Цель работы</w:t>
      </w:r>
      <w:bookmarkEnd w:id="1"/>
    </w:p>
    <w:p w14:paraId="3CDC86EA" w14:textId="77777777" w:rsidR="0080610F" w:rsidRDefault="004731CF">
      <w:pPr>
        <w:pStyle w:val="FirstParagraph"/>
      </w:pPr>
      <w:r>
        <w:t>Ознакомление с теоретическим материалом и рассмотрение задачи.</w:t>
      </w:r>
    </w:p>
    <w:p w14:paraId="7330A356" w14:textId="77777777" w:rsidR="0080610F" w:rsidRDefault="004731CF">
      <w:pPr>
        <w:pStyle w:val="Heading1"/>
      </w:pPr>
      <w:bookmarkStart w:id="2" w:name="введение"/>
      <w:bookmarkStart w:id="3" w:name="_Toc65608782"/>
      <w:bookmarkEnd w:id="0"/>
      <w:r>
        <w:t>Введение</w:t>
      </w:r>
      <w:bookmarkEnd w:id="3"/>
    </w:p>
    <w:p w14:paraId="2BF6FC66" w14:textId="77777777" w:rsidR="0080610F" w:rsidRDefault="004731CF">
      <w:pPr>
        <w:pStyle w:val="FirstParagraph"/>
      </w:pPr>
      <w:r>
        <w:t>Колебания гармонического осциллятора являются важным примером периодического движения и служат точной или приближенной моделью во многих задачах классической и квантовой физики. Пример</w:t>
      </w:r>
      <w:r>
        <w:t>ами гармонического осциллятора являются: пружинный, математический и физический маятники, а также колебательный контур (для малых токов и напряжений).</w:t>
      </w:r>
    </w:p>
    <w:p w14:paraId="3D3DAD19" w14:textId="77777777" w:rsidR="0080610F" w:rsidRDefault="004731CF">
      <w:pPr>
        <w:pStyle w:val="Heading1"/>
      </w:pPr>
      <w:bookmarkStart w:id="4" w:name="гармонические-осцилляторы"/>
      <w:bookmarkStart w:id="5" w:name="_Toc65608783"/>
      <w:bookmarkEnd w:id="2"/>
      <w:r>
        <w:t>Гармонические осцилляторы</w:t>
      </w:r>
      <w:bookmarkEnd w:id="5"/>
    </w:p>
    <w:p w14:paraId="02265BF9" w14:textId="77777777" w:rsidR="0080610F" w:rsidRDefault="004731CF">
      <w:pPr>
        <w:pStyle w:val="FirstParagraph"/>
      </w:pPr>
      <w:r>
        <w:t>Свободные колебания совершаются под действием внутренних сил системы после того</w:t>
      </w:r>
      <w:r>
        <w:t>, как система была выведена из положения равновесия. Для того, чтобы свободные колебания совершались по гармоническому закону, необходимо, чтобы сила, стремящаяся возвратить тело в положение равновесия, была пропорциональна смещению тела из положения равно</w:t>
      </w:r>
      <w:r>
        <w:t>весия и направлена в сторону, противоположную смещению:</w:t>
      </w:r>
    </w:p>
    <w:p w14:paraId="14A3024D" w14:textId="77777777" w:rsidR="0080610F" w:rsidRDefault="004731CF">
      <w:pPr>
        <w:pStyle w:val="BodyText"/>
      </w:pPr>
      <w:r>
        <w:t>F(t) = ma(t) = –m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x(t).</w:t>
      </w:r>
    </w:p>
    <w:p w14:paraId="4C9C0935" w14:textId="77777777" w:rsidR="0080610F" w:rsidRDefault="004731CF">
      <w:pPr>
        <w:pStyle w:val="BodyText"/>
      </w:pPr>
      <w:r>
        <w:lastRenderedPageBreak/>
        <w:t>Силы любой другой физической природы, удовлетворяющие этому условию, называются квазиупругими. Таким образом, груз некоторой массы m, прикрепленный к пружине жесткости k, вто</w:t>
      </w:r>
      <w:r>
        <w:t>рой конец которой закреплен неподвижно, составляют систему, способную совершать в отсутствие трения свободные гармонические колебания. Груз на пружине называют линейным гармоническим осциллятором. (рис. 1)</w:t>
      </w:r>
    </w:p>
    <w:p w14:paraId="191A20CE" w14:textId="77777777" w:rsidR="0080610F" w:rsidRDefault="004731CF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BB6921E" wp14:editId="16105062">
            <wp:extent cx="4762500" cy="2540000"/>
            <wp:effectExtent l="0" t="0" r="0" b="0"/>
            <wp:docPr id="1" name="Picture" descr="Figure 1: Рисунок 1. Колебания груза на пружине. Трения не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A693D8E" w14:textId="77777777" w:rsidR="0080610F" w:rsidRDefault="004731CF">
      <w:pPr>
        <w:pStyle w:val="ImageCaption"/>
      </w:pPr>
      <w:r>
        <w:t>Figure 1: Рисунок 1. Колебания груза на пружине.</w:t>
      </w:r>
      <w:r>
        <w:t xml:space="preserve"> Трения нет.</w:t>
      </w:r>
    </w:p>
    <w:p w14:paraId="526B2556" w14:textId="77777777" w:rsidR="0080610F" w:rsidRDefault="004731CF">
      <w:pPr>
        <w:pStyle w:val="BodyText"/>
      </w:pPr>
      <w:r>
        <w:t xml:space="preserve">Круговая частота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свободных колебаний груза на пружине находится из второго закона динамики: (рис. 2)</w:t>
      </w:r>
    </w:p>
    <w:p w14:paraId="73842948" w14:textId="77777777" w:rsidR="0080610F" w:rsidRDefault="004731CF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0AE87E05" wp14:editId="1437450F">
            <wp:extent cx="2005532" cy="568618"/>
            <wp:effectExtent l="0" t="0" r="0" b="0"/>
            <wp:docPr id="2" name="Picture" descr="Figure 2: Рисунок 2. Второй закон динами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030B594" w14:textId="77777777" w:rsidR="0080610F" w:rsidRDefault="004731CF">
      <w:pPr>
        <w:pStyle w:val="ImageCaption"/>
      </w:pPr>
      <w:r>
        <w:t>Figure 2: Рисунок 2. Второй закон динамики.</w:t>
      </w:r>
    </w:p>
    <w:p w14:paraId="57B2C382" w14:textId="77777777" w:rsidR="0080610F" w:rsidRDefault="004731CF">
      <w:pPr>
        <w:pStyle w:val="BodyText"/>
      </w:pPr>
      <w:r>
        <w:t>Откуда (рис. 3)</w:t>
      </w:r>
    </w:p>
    <w:p w14:paraId="00033CC7" w14:textId="77777777" w:rsidR="0080610F" w:rsidRDefault="004731CF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27610F9E" wp14:editId="51A0D898">
            <wp:extent cx="965200" cy="660400"/>
            <wp:effectExtent l="0" t="0" r="0" b="0"/>
            <wp:docPr id="3" name="Picture" descr="Figure 3: Рисунок 3. Cобственная часто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73F5D03" w14:textId="77777777" w:rsidR="0080610F" w:rsidRDefault="004731CF">
      <w:pPr>
        <w:pStyle w:val="ImageCaption"/>
      </w:pPr>
      <w:r>
        <w:t>Figure 3: Рисунок 3. Cобственная частота.</w:t>
      </w:r>
    </w:p>
    <w:p w14:paraId="74DFF0D6" w14:textId="77777777" w:rsidR="0080610F" w:rsidRDefault="004731CF">
      <w:pPr>
        <w:pStyle w:val="BodyText"/>
      </w:pPr>
      <w:r>
        <w:t xml:space="preserve">Частота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называется собственн</w:t>
      </w:r>
      <w:r>
        <w:t>ой частотой колебательной системы. Период T гармонических колебаний груза на пружине равен (рис. 4)</w:t>
      </w:r>
    </w:p>
    <w:p w14:paraId="4E274AF9" w14:textId="77777777" w:rsidR="0080610F" w:rsidRDefault="004731CF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22A221E7" wp14:editId="40FB56DC">
            <wp:extent cx="1549400" cy="685800"/>
            <wp:effectExtent l="0" t="0" r="0" b="0"/>
            <wp:docPr id="4" name="Picture" descr="Figure 4: Рисунок 4. Период T гармонических колебаний груза на пружин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474130A" w14:textId="77777777" w:rsidR="0080610F" w:rsidRDefault="004731CF">
      <w:pPr>
        <w:pStyle w:val="ImageCaption"/>
      </w:pPr>
      <w:r>
        <w:t>Figure 4: Рисунок 4. Период T гармонических колебаний груза на пружине.</w:t>
      </w:r>
    </w:p>
    <w:p w14:paraId="040B45A5" w14:textId="77777777" w:rsidR="0080610F" w:rsidRDefault="004731CF">
      <w:pPr>
        <w:pStyle w:val="BodyText"/>
      </w:pPr>
      <w:r>
        <w:t>При горизонтальном расположении системы пружина–груз сила тяжести, приложенная к г</w:t>
      </w:r>
      <w:r>
        <w:t xml:space="preserve">рузу, компенсируется силой реакции опоры. Если же груз подвешен на пружине, то сила тяжести направлена по линии движения груза. В положении равновесия пружина растянута на величину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равную</w:t>
      </w:r>
    </w:p>
    <w:p w14:paraId="3F7B8AB5" w14:textId="77777777" w:rsidR="0080610F" w:rsidRDefault="004731C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,</w:t>
      </w:r>
    </w:p>
    <w:p w14:paraId="01850B56" w14:textId="77777777" w:rsidR="0080610F" w:rsidRDefault="004731CF">
      <w:pPr>
        <w:pStyle w:val="BodyText"/>
      </w:pPr>
      <w:r>
        <w:t xml:space="preserve">и колебания совершаются около этого нового положения равновесия. Строгое описание поведения колебательной системы может быть дано, если принять во внимание математическую связь между ускорением тела a и координатой x: ускорение является второй производной </w:t>
      </w:r>
      <w:r>
        <w:t>координаты тела x по времени t:(рис. 5)</w:t>
      </w:r>
    </w:p>
    <w:p w14:paraId="6810A3F4" w14:textId="77777777" w:rsidR="0080610F" w:rsidRDefault="004731CF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05401BC1" wp14:editId="077568D3">
            <wp:extent cx="838200" cy="304800"/>
            <wp:effectExtent l="0" t="0" r="0" b="0"/>
            <wp:docPr id="5" name="Picture" descr="Figure 5: Рисунок 5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16EACF1" w14:textId="77777777" w:rsidR="0080610F" w:rsidRDefault="004731CF">
      <w:pPr>
        <w:pStyle w:val="ImageCaption"/>
      </w:pPr>
      <w:r>
        <w:t>Figure 5: Рисунок 5.</w:t>
      </w:r>
    </w:p>
    <w:p w14:paraId="6DED9508" w14:textId="77777777" w:rsidR="0080610F" w:rsidRDefault="004731CF">
      <w:pPr>
        <w:pStyle w:val="BodyText"/>
      </w:pPr>
      <w:r>
        <w:t>Поэтому второй закон динамики для груза на пружине может быть записан в виде (рис. 6)</w:t>
      </w:r>
    </w:p>
    <w:p w14:paraId="4E7B3AEF" w14:textId="77777777" w:rsidR="0080610F" w:rsidRDefault="004731CF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3E43127C" wp14:editId="2E2902DA">
            <wp:extent cx="990600" cy="381000"/>
            <wp:effectExtent l="0" t="0" r="0" b="0"/>
            <wp:docPr id="6" name="Picture" descr="Figure 6: Рисунок 6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890B35F" w14:textId="77777777" w:rsidR="0080610F" w:rsidRDefault="004731CF">
      <w:pPr>
        <w:pStyle w:val="ImageCaption"/>
      </w:pPr>
      <w:r>
        <w:t>Figure 6: Рисунок 6.</w:t>
      </w:r>
    </w:p>
    <w:p w14:paraId="123E2778" w14:textId="77777777" w:rsidR="0080610F" w:rsidRDefault="004731CF">
      <w:pPr>
        <w:pStyle w:val="BodyText"/>
      </w:pPr>
      <w:r>
        <w:t xml:space="preserve">где, </w:t>
      </w:r>
      <w:r>
        <w:rPr>
          <w:noProof/>
        </w:rPr>
        <w:drawing>
          <wp:inline distT="0" distB="0" distL="0" distR="0" wp14:anchorId="765F3CEF" wp14:editId="3EB19190">
            <wp:extent cx="568618" cy="384201"/>
            <wp:effectExtent l="0" t="0" r="0" b="0"/>
            <wp:docPr id="7" name="Picture" descr="Рисунок 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8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Все физические системы (не только механические), описываемые уравнением, способны совершать свободные гармонические колебания, так как решением этого уравнения являются гармонические функции вида x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cos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14:paraId="757CE5E8" w14:textId="77777777" w:rsidR="0080610F" w:rsidRDefault="004731CF">
      <w:pPr>
        <w:pStyle w:val="BodyText"/>
      </w:pPr>
      <w:r>
        <w:t>Уравнение называется уравнением с</w:t>
      </w:r>
      <w:r>
        <w:t xml:space="preserve">вободных колебаний. Следует обратить внимание на то, что физические свойства колебательной системы определяют только собственную частоту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или период T. Такие параметры процесса колебаний, как амплитуда xm и начальная фаза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определяются спо</w:t>
      </w:r>
      <w:r>
        <w:t xml:space="preserve">собом, с помощью которого система была выведена из состояния равновесия в начальный момент времени. Если, например, груз был смещен из положения равновесия на расстояние Δl и затем в момент времени t = 0 отпущен без начальной скорости,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= Δl,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>
        <w:t>0. Если же грузу, находившемуся в положении равновесия, с помощью резкого толчка была сообщена начальная скорость 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</w:t>
      </w:r>
    </w:p>
    <w:p w14:paraId="538CE1C7" w14:textId="77777777" w:rsidR="0080610F" w:rsidRDefault="004731CF">
      <w:pPr>
        <w:pStyle w:val="BodyText"/>
      </w:pPr>
      <w:r>
        <w:rPr>
          <w:noProof/>
        </w:rPr>
        <w:lastRenderedPageBreak/>
        <w:drawing>
          <wp:inline distT="0" distB="0" distL="0" distR="0" wp14:anchorId="3D2A1B27" wp14:editId="136078D8">
            <wp:extent cx="1282700" cy="660400"/>
            <wp:effectExtent l="0" t="0" r="0" b="0"/>
            <wp:docPr id="8" name="Picture" descr="Рисунок 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708A97E" wp14:editId="225B3B5D">
            <wp:extent cx="800100" cy="558800"/>
            <wp:effectExtent l="0" t="0" r="0" b="0"/>
            <wp:docPr id="9" name="Picture" descr="Рисунок 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E69BB" w14:textId="77777777" w:rsidR="0080610F" w:rsidRDefault="004731CF">
      <w:pPr>
        <w:pStyle w:val="BodyText"/>
      </w:pPr>
      <w:r>
        <w:t xml:space="preserve">Таким образом, амплитуда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свободных колебаний и его начальная фаза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определяются начальными условиями. Существует много р</w:t>
      </w:r>
      <w:r>
        <w:t>азновидностей механических колебательных систем, в которых используются силы упругих деформаций. На (рис. 9) показан угловой аналог линейного гармонического осциллятора. Горизонтально расположенный диск висит на упругой нити, закрепленной в его центре масс</w:t>
      </w:r>
      <w:r>
        <w:t xml:space="preserve">. При повороте диска на угол </w:t>
      </w:r>
      <m:oMath>
        <m:r>
          <w:rPr>
            <w:rFonts w:ascii="Cambria Math" w:hAnsi="Cambria Math"/>
          </w:rPr>
          <m:t>θ</m:t>
        </m:r>
      </m:oMath>
      <w:r>
        <w:t xml:space="preserve"> возникает момент сил Mупр упругой деформации кручения:</w:t>
      </w:r>
    </w:p>
    <w:p w14:paraId="49EB0DFD" w14:textId="77777777" w:rsidR="0080610F" w:rsidRDefault="004731CF">
      <w:pPr>
        <w:pStyle w:val="BodyText"/>
      </w:pPr>
      <w:r>
        <w:t>Mупр = 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</m:oMath>
      <w:r>
        <w:t>.</w:t>
      </w:r>
    </w:p>
    <w:p w14:paraId="598481B1" w14:textId="77777777" w:rsidR="0080610F" w:rsidRDefault="004731CF">
      <w:pPr>
        <w:pStyle w:val="BodyText"/>
      </w:pPr>
      <w:r>
        <w:t xml:space="preserve">Это соотношение выражает закон Гука для деформации кручения. Величина </w:t>
      </w:r>
      <m:oMath>
        <m:r>
          <w:rPr>
            <w:rFonts w:ascii="Cambria Math" w:hAnsi="Cambria Math"/>
          </w:rPr>
          <m:t>χ</m:t>
        </m:r>
      </m:oMath>
      <w:r>
        <w:t xml:space="preserve"> аналогична жесткости пружины k. Второй закон динамики для вращательного движения д</w:t>
      </w:r>
      <w:r>
        <w:t>иска записывается в виде (рис. 7)</w:t>
      </w:r>
    </w:p>
    <w:p w14:paraId="4B705AE3" w14:textId="77777777" w:rsidR="0080610F" w:rsidRDefault="004731CF">
      <w:pPr>
        <w:pStyle w:val="CaptionedFigure"/>
      </w:pPr>
      <w:bookmarkStart w:id="12" w:name="fig:011"/>
      <w:r>
        <w:rPr>
          <w:noProof/>
        </w:rPr>
        <w:drawing>
          <wp:inline distT="0" distB="0" distL="0" distR="0" wp14:anchorId="21012A8A" wp14:editId="44C9BC1C">
            <wp:extent cx="2658675" cy="553250"/>
            <wp:effectExtent l="0" t="0" r="0" b="0"/>
            <wp:docPr id="10" name="Picture" descr="Figure 7: Рисунок 1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05B8C69" w14:textId="77777777" w:rsidR="0080610F" w:rsidRDefault="004731CF">
      <w:pPr>
        <w:pStyle w:val="ImageCaption"/>
      </w:pPr>
      <w:r>
        <w:t>Figure 7: Рисунок 11.</w:t>
      </w:r>
    </w:p>
    <w:p w14:paraId="432658BC" w14:textId="77777777" w:rsidR="0080610F" w:rsidRDefault="004731CF">
      <w:pPr>
        <w:pStyle w:val="BodyText"/>
      </w:pPr>
      <w:r>
        <w:t xml:space="preserve">где I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– момент инерции диска относительно оси, проходящий через центр масс, </w:t>
      </w:r>
      <m:oMath>
        <m:r>
          <w:rPr>
            <w:rFonts w:ascii="Cambria Math" w:hAnsi="Cambria Math"/>
          </w:rPr>
          <m:t>ε</m:t>
        </m:r>
      </m:oMath>
      <w:r>
        <w:t>–угловое ускорение. По аналогии с грузом на пружине можно получить: (рис. 8)</w:t>
      </w:r>
    </w:p>
    <w:p w14:paraId="3126EDCE" w14:textId="77777777" w:rsidR="0080610F" w:rsidRDefault="004731CF">
      <w:pPr>
        <w:pStyle w:val="CaptionedFigure"/>
      </w:pPr>
      <w:bookmarkStart w:id="13" w:name="fig:012"/>
      <w:r>
        <w:rPr>
          <w:noProof/>
        </w:rPr>
        <w:drawing>
          <wp:inline distT="0" distB="0" distL="0" distR="0" wp14:anchorId="0A425F0F" wp14:editId="2F45709B">
            <wp:extent cx="2704779" cy="714615"/>
            <wp:effectExtent l="0" t="0" r="0" b="0"/>
            <wp:docPr id="11" name="Picture" descr="Figure 8: Рисунок 1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D7DB295" w14:textId="77777777" w:rsidR="0080610F" w:rsidRDefault="004731CF">
      <w:pPr>
        <w:pStyle w:val="ImageCaption"/>
      </w:pPr>
      <w:r>
        <w:t>Figure 8: Рисунок 12.</w:t>
      </w:r>
    </w:p>
    <w:p w14:paraId="1A38C131" w14:textId="77777777" w:rsidR="0080610F" w:rsidRDefault="004731CF">
      <w:pPr>
        <w:pStyle w:val="BodyText"/>
      </w:pPr>
      <w:r>
        <w:t>Крутильный м</w:t>
      </w:r>
      <w:r>
        <w:t>аятник широко используется в механических часах. Его называют балансиром. В балансире момент упругих сил создается с помощью спиралевидной пружинки.</w:t>
      </w:r>
    </w:p>
    <w:p w14:paraId="0E583E16" w14:textId="77777777" w:rsidR="0080610F" w:rsidRDefault="004731CF">
      <w:pPr>
        <w:pStyle w:val="CaptionedFigure"/>
      </w:pPr>
      <w:bookmarkStart w:id="14" w:name="fig:010"/>
      <w:r>
        <w:rPr>
          <w:noProof/>
        </w:rPr>
        <w:drawing>
          <wp:inline distT="0" distB="0" distL="0" distR="0" wp14:anchorId="15FDBFF4" wp14:editId="42B9BEB8">
            <wp:extent cx="2128477" cy="1344705"/>
            <wp:effectExtent l="0" t="0" r="0" b="0"/>
            <wp:docPr id="12" name="Picture" descr="Figure 9: Рисунок 10. Крутильный маятн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A5277D4" w14:textId="77777777" w:rsidR="0080610F" w:rsidRDefault="004731CF">
      <w:pPr>
        <w:pStyle w:val="ImageCaption"/>
      </w:pPr>
      <w:r>
        <w:t>Figure 9: Рисунок 10. Крутильный маятник</w:t>
      </w:r>
    </w:p>
    <w:p w14:paraId="78CBF5CD" w14:textId="77777777" w:rsidR="0080610F" w:rsidRDefault="004731CF">
      <w:pPr>
        <w:pStyle w:val="Heading1"/>
      </w:pPr>
      <w:bookmarkStart w:id="15" w:name="выводы"/>
      <w:bookmarkStart w:id="16" w:name="_Toc65608784"/>
      <w:bookmarkEnd w:id="4"/>
      <w:r>
        <w:lastRenderedPageBreak/>
        <w:t>Выводы</w:t>
      </w:r>
      <w:bookmarkEnd w:id="16"/>
    </w:p>
    <w:p w14:paraId="43A1A7FE" w14:textId="77777777" w:rsidR="0080610F" w:rsidRDefault="004731CF">
      <w:pPr>
        <w:pStyle w:val="FirstParagraph"/>
      </w:pPr>
      <w:r>
        <w:t>Познакомились с теоретическим материалом и рассмотрели за</w:t>
      </w:r>
      <w:r>
        <w:t>дачи.</w:t>
      </w:r>
      <w:bookmarkEnd w:id="15"/>
    </w:p>
    <w:sectPr w:rsidR="008061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11670" w14:textId="77777777" w:rsidR="004731CF" w:rsidRDefault="004731CF">
      <w:pPr>
        <w:spacing w:after="0"/>
      </w:pPr>
      <w:r>
        <w:separator/>
      </w:r>
    </w:p>
  </w:endnote>
  <w:endnote w:type="continuationSeparator" w:id="0">
    <w:p w14:paraId="671128C3" w14:textId="77777777" w:rsidR="004731CF" w:rsidRDefault="00473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3A1C3" w14:textId="77777777" w:rsidR="004731CF" w:rsidRDefault="004731CF">
      <w:r>
        <w:separator/>
      </w:r>
    </w:p>
  </w:footnote>
  <w:footnote w:type="continuationSeparator" w:id="0">
    <w:p w14:paraId="430D8721" w14:textId="77777777" w:rsidR="004731CF" w:rsidRDefault="0047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CDAD3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31CF"/>
    <w:rsid w:val="004E29B3"/>
    <w:rsid w:val="00590D07"/>
    <w:rsid w:val="00784D58"/>
    <w:rsid w:val="0080610F"/>
    <w:rsid w:val="008D6863"/>
    <w:rsid w:val="00A6572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23A0"/>
  <w15:docId w15:val="{5E433C12-CC65-4807-977A-1487400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657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Колебания цепочек</dc:title>
  <dc:creator>Гебриал Ибрам Есам Зекри НПИ-01-18; Каримов Зуфар Исматович НПИ-01-18; Волков Тимофей Евгеньевич НПИ-01-18; Гаджиев Нурсултан Тофик оглы НПИ-01-18</dc:creator>
  <cp:keywords/>
  <cp:lastModifiedBy>Гебриал Ибрам Есам Зекри</cp:lastModifiedBy>
  <cp:revision>3</cp:revision>
  <dcterms:created xsi:type="dcterms:W3CDTF">2021-02-27T18:13:00Z</dcterms:created>
  <dcterms:modified xsi:type="dcterms:W3CDTF">2021-03-02T18:19:00Z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