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46.png" ContentType="image/png"/>
  <Override PartName="/word/media/rId48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9.png" ContentType="image/png"/>
  <Override PartName="/word/media/rId26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57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Гебриал</w:t>
      </w:r>
      <w:r>
        <w:t xml:space="preserve"> </w:t>
      </w:r>
      <w:r>
        <w:t xml:space="preserve">Ибрам</w:t>
      </w:r>
      <w:r>
        <w:t xml:space="preserve"> </w:t>
      </w:r>
      <w:r>
        <w:t xml:space="preserve">Есам</w:t>
      </w:r>
      <w:r>
        <w:t xml:space="preserve"> </w:t>
      </w:r>
      <w:r>
        <w:t xml:space="preserve">Зекри</w:t>
      </w:r>
      <w:r>
        <w:t xml:space="preserve"> </w:t>
      </w:r>
      <w:r>
        <w:t xml:space="preserve">НПИ-01-18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</w:p>
    <w:p>
      <w:pPr>
        <w:pStyle w:val="BodyText"/>
      </w:pPr>
      <w:r>
        <w:t xml:space="preserve">Проверить работу SELinx на практике совместно с веб-сервером Apache.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Linux с улучшенной безопасностью (SELinux) - это реализация мандатного управления доступом mandatory access control в ядре Linux, проверяющего разрешение операций после проверки стандартного дискреционного управления доступом discretionary access controls. SELinux создан Агенством Национальной Безопасности и вводит в действие правила для файлов и процессов в системе Linux, для совершаемых над ними действий, основываясь на установленной политике.</w:t>
      </w:r>
    </w:p>
    <w:p>
      <w:pPr>
        <w:pStyle w:val="BodyText"/>
      </w:pPr>
      <w:r>
        <w:t xml:space="preserve">При использовании SELinux, файлы, включая директории и устройства являются объектами. Процессы, такие как, выполнение команды пользователем или приложение Mozilla® Firefox®, являются субъектами. Большинство операционных систем используют механизм дискретного контроля доступа (Discretionary Access Control (DAC), который контролирует каким образом субъекты взаимодействуют с объектами, и как субъекты взаимодействуют друг с другом. В операционных системах с использованием DAC, пользователи контролируют права доступа к файлам (объектам), для которых они являются собственниками. Например, в операционных системах Linux®, пользователи могут сделать свои домашние директории читаемыми для всех, предоставив пользователям и процессам (субъектам) доступ к потенциально конфеденциальной информации, без какой либо защиты от этого нежелательных действий. [1]</w:t>
      </w:r>
    </w:p>
    <w:p>
      <w:pPr>
        <w:pStyle w:val="BodyText"/>
      </w:pPr>
      <w:r>
        <w:rPr>
          <w:bCs/>
          <w:b/>
        </w:rPr>
        <w:t xml:space="preserve">Режимы работы SELinux</w:t>
      </w:r>
    </w:p>
    <w:p>
      <w:pPr>
        <w:pStyle w:val="BodyText"/>
      </w:pPr>
      <w:r>
        <w:t xml:space="preserve">SELinux имеет три основных режим работы, при этом по умолчанию установлен режим Enforcing. Это довольно жесткий режим, и в случае необходимости он может быть изменен на более удобный для конечного пользователя.</w:t>
      </w:r>
    </w:p>
    <w:p>
      <w:pPr>
        <w:pStyle w:val="BodyText"/>
      </w:pPr>
      <w:r>
        <w:t xml:space="preserve">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pStyle w:val="BodyText"/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pStyle w:val="BodyText"/>
      </w:pPr>
      <w:r>
        <w:t xml:space="preserve">Disabled: Полное отключение системы принудительного контроля доступа.[2]</w:t>
      </w:r>
    </w:p>
    <w:bookmarkEnd w:id="21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Подготовка лабораторного стенда</w:t>
      </w:r>
    </w:p>
    <w:p>
      <w:pPr>
        <w:numPr>
          <w:ilvl w:val="0"/>
          <w:numId w:val="1001"/>
        </w:numPr>
        <w:pStyle w:val="Compact"/>
      </w:pPr>
      <w:r>
        <w:t xml:space="preserve">При подготовке стенда обратил внимание, что необходимая для работы и указанная выше политика targeted и режим enforcing используются в данном дистрибутиве по умолчанию. (рис. 1)</w:t>
      </w:r>
    </w:p>
    <w:p>
      <w:pPr>
        <w:pStyle w:val="CaptionedFigure"/>
      </w:pPr>
      <w:bookmarkStart w:id="23" w:name="fig:001"/>
      <w:r>
        <w:drawing>
          <wp:inline>
            <wp:extent cx="5334000" cy="3643442"/>
            <wp:effectExtent b="0" l="0" r="0" t="0"/>
            <wp:docPr descr="Figure 1: Проверка статус SELINUX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Проверка статус SELINUX</w:t>
      </w:r>
    </w:p>
    <w:p>
      <w:pPr>
        <w:numPr>
          <w:ilvl w:val="0"/>
          <w:numId w:val="1002"/>
        </w:numPr>
        <w:pStyle w:val="Compact"/>
      </w:pPr>
      <w:r>
        <w:t xml:space="preserve">В конфигурационном файле /etc/httpd/httpd.conf задал параметр ServerName: (рис. 2)</w:t>
      </w:r>
    </w:p>
    <w:p>
      <w:pPr>
        <w:pStyle w:val="FirstParagraph"/>
      </w:pPr>
      <w:r>
        <w:t xml:space="preserve">Чтобы при запуске веб-сервера не выдавались лишние сообщения об ошибках, не относящихся к лабораторной работе.</w:t>
      </w:r>
    </w:p>
    <w:p>
      <w:pPr>
        <w:pStyle w:val="CaptionedFigure"/>
      </w:pPr>
      <w:bookmarkStart w:id="25" w:name="fig:002"/>
      <w:r>
        <w:drawing>
          <wp:inline>
            <wp:extent cx="5334000" cy="3609583"/>
            <wp:effectExtent b="0" l="0" r="0" t="0"/>
            <wp:docPr descr="Figure 2: Установка параметра ServerName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Установка параметра ServerName</w:t>
      </w:r>
    </w:p>
    <w:p>
      <w:pPr>
        <w:numPr>
          <w:ilvl w:val="0"/>
          <w:numId w:val="1003"/>
        </w:numPr>
        <w:pStyle w:val="Compact"/>
      </w:pPr>
      <w:r>
        <w:t xml:space="preserve">Также необходимо проследить, чтобы пакетный фильтр был отключён или в своей рабочей конфигурации позволял подключаться к 80-у и 81-у портам протокола tcp.</w:t>
      </w:r>
    </w:p>
    <w:p>
      <w:pPr>
        <w:pStyle w:val="FirstParagraph"/>
      </w:pPr>
      <w:r>
        <w:t xml:space="preserve">Отключил фильтр. (рис. 3)</w:t>
      </w:r>
    </w:p>
    <w:p>
      <w:pPr>
        <w:pStyle w:val="CaptionedFigure"/>
      </w:pPr>
      <w:bookmarkStart w:id="27" w:name="fig:003"/>
      <w:r>
        <w:drawing>
          <wp:inline>
            <wp:extent cx="5334000" cy="754742"/>
            <wp:effectExtent b="0" l="0" r="0" t="0"/>
            <wp:docPr descr="Figure 3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Отключение фильтра</w:t>
      </w:r>
    </w:p>
    <w:p>
      <w:pPr>
        <w:numPr>
          <w:ilvl w:val="0"/>
          <w:numId w:val="1004"/>
        </w:numPr>
        <w:pStyle w:val="Compact"/>
      </w:pPr>
      <w:r>
        <w:t xml:space="preserve">Вошёл в систему с полученными учётными данными и убедитесь, что SELinux работает в режиме enforcing политики targeted с помощью команд getenforce и sestatus. (рис. 4)</w:t>
      </w:r>
    </w:p>
    <w:p>
      <w:pPr>
        <w:pStyle w:val="CaptionedFigure"/>
      </w:pPr>
      <w:bookmarkStart w:id="29" w:name="fig:004"/>
      <w:r>
        <w:drawing>
          <wp:inline>
            <wp:extent cx="5334000" cy="2973759"/>
            <wp:effectExtent b="0" l="0" r="0" t="0"/>
            <wp:docPr descr="Figure 4: Проверка статус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Проверка статуса</w:t>
      </w:r>
    </w:p>
    <w:p>
      <w:pPr>
        <w:numPr>
          <w:ilvl w:val="0"/>
          <w:numId w:val="1005"/>
        </w:numPr>
        <w:pStyle w:val="Compact"/>
      </w:pPr>
      <w:r>
        <w:t xml:space="preserve">Обратился с помощью браузера к веб-серверу, запущенному на своем компьютере, и убедился, что последний работает: (рис. 5)</w:t>
      </w:r>
    </w:p>
    <w:p>
      <w:pPr>
        <w:pStyle w:val="FirstParagraph"/>
      </w:pPr>
      <w:r>
        <w:t xml:space="preserve">Он не работал, поэтому запустил его так же, но с параметром start.</w:t>
      </w:r>
    </w:p>
    <w:p>
      <w:pPr>
        <w:pStyle w:val="CaptionedFigure"/>
      </w:pPr>
      <w:bookmarkStart w:id="31" w:name="fig:005"/>
      <w:r>
        <w:drawing>
          <wp:inline>
            <wp:extent cx="5334000" cy="3738852"/>
            <wp:effectExtent b="0" l="0" r="0" t="0"/>
            <wp:docPr descr="Figure 5: Запуск и проверка http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Запуск и проверка httpd</w:t>
      </w:r>
    </w:p>
    <w:p>
      <w:pPr>
        <w:numPr>
          <w:ilvl w:val="0"/>
          <w:numId w:val="1006"/>
        </w:numPr>
        <w:pStyle w:val="Compact"/>
      </w:pPr>
      <w:r>
        <w:t xml:space="preserve">Нашёл веб-сервер Apache в списке процессов, определил его контекст безопасности. (рис. 6)</w:t>
      </w:r>
    </w:p>
    <w:p>
      <w:pPr>
        <w:pStyle w:val="FirstParagraph"/>
      </w:pPr>
      <w:r>
        <w:t xml:space="preserve">system_u — системный пользователь;</w:t>
      </w:r>
    </w:p>
    <w:p>
      <w:pPr>
        <w:pStyle w:val="BodyText"/>
      </w:pPr>
      <w:r>
        <w:t xml:space="preserve">system_r — роль уровня системы, используемая для запуска системных</w:t>
      </w:r>
      <w:r>
        <w:t xml:space="preserve"> </w:t>
      </w:r>
      <w:r>
        <w:t xml:space="preserve">процессов с указанием конкретного типа субъекта, определяемого типом</w:t>
      </w:r>
      <w:r>
        <w:t xml:space="preserve"> </w:t>
      </w:r>
      <w:r>
        <w:t xml:space="preserve">объекта (файла).</w:t>
      </w:r>
    </w:p>
    <w:p>
      <w:pPr>
        <w:pStyle w:val="BodyText"/>
      </w:pPr>
      <w:r>
        <w:t xml:space="preserve">httpd_t- задан тип</w:t>
      </w:r>
    </w:p>
    <w:p>
      <w:pPr>
        <w:pStyle w:val="BodyText"/>
      </w:pPr>
      <w:r>
        <w:t xml:space="preserve">s0- задан уровень</w:t>
      </w:r>
    </w:p>
    <w:p>
      <w:pPr>
        <w:pStyle w:val="CaptionedFigure"/>
      </w:pPr>
      <w:bookmarkStart w:id="33" w:name="fig:006"/>
      <w:r>
        <w:drawing>
          <wp:inline>
            <wp:extent cx="5334000" cy="3697187"/>
            <wp:effectExtent b="0" l="0" r="0" t="0"/>
            <wp:docPr descr="Figure 6: Контекст безопасност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Контекст безопасности</w:t>
      </w:r>
    </w:p>
    <w:p>
      <w:pPr>
        <w:numPr>
          <w:ilvl w:val="0"/>
          <w:numId w:val="1007"/>
        </w:numPr>
        <w:pStyle w:val="Compact"/>
      </w:pPr>
      <w:r>
        <w:t xml:space="preserve">Посмотрел текущее состояние переключателей SELinux для Apache. (рис. 7)</w:t>
      </w:r>
    </w:p>
    <w:p>
      <w:pPr>
        <w:pStyle w:val="FirstParagraph"/>
      </w:pPr>
      <w:r>
        <w:t xml:space="preserve">Можем заметить, что многие из них находятся в положении «off»</w:t>
      </w:r>
    </w:p>
    <w:p>
      <w:pPr>
        <w:pStyle w:val="CaptionedFigure"/>
      </w:pPr>
      <w:bookmarkStart w:id="35" w:name="fig:007"/>
      <w:r>
        <w:drawing>
          <wp:inline>
            <wp:extent cx="5334000" cy="4004113"/>
            <wp:effectExtent b="0" l="0" r="0" t="0"/>
            <wp:docPr descr="Figure 7: Просмотр состояния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Просмотр состояния переключателей SELinux для Apache</w:t>
      </w:r>
    </w:p>
    <w:p>
      <w:pPr>
        <w:numPr>
          <w:ilvl w:val="0"/>
          <w:numId w:val="1008"/>
        </w:numPr>
        <w:pStyle w:val="Compact"/>
      </w:pPr>
      <w:r>
        <w:t xml:space="preserve">Посмотрел статистику по политике с помощью команды seinfo (рис. 8)</w:t>
      </w:r>
    </w:p>
    <w:p>
      <w:pPr>
        <w:pStyle w:val="FirstParagraph"/>
      </w:pPr>
      <w:r>
        <w:t xml:space="preserve">пользователей 8</w:t>
      </w:r>
    </w:p>
    <w:p>
      <w:pPr>
        <w:pStyle w:val="BodyText"/>
      </w:pPr>
      <w:r>
        <w:t xml:space="preserve">ролей 14</w:t>
      </w:r>
    </w:p>
    <w:p>
      <w:pPr>
        <w:pStyle w:val="BodyText"/>
      </w:pPr>
      <w:r>
        <w:t xml:space="preserve">типов 4793</w:t>
      </w:r>
    </w:p>
    <w:p>
      <w:pPr>
        <w:pStyle w:val="CaptionedFigure"/>
      </w:pPr>
      <w:bookmarkStart w:id="37" w:name="fig:008"/>
      <w:r>
        <w:drawing>
          <wp:inline>
            <wp:extent cx="5334000" cy="4031259"/>
            <wp:effectExtent b="0" l="0" r="0" t="0"/>
            <wp:docPr descr="Figure 8: Просмотр статистики по политике с помощью команды seinfo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Просмотр статистики по политике с помощью команды seinfo</w:t>
      </w:r>
    </w:p>
    <w:p>
      <w:pPr>
        <w:numPr>
          <w:ilvl w:val="0"/>
          <w:numId w:val="1009"/>
        </w:numPr>
        <w:pStyle w:val="Compact"/>
      </w:pPr>
      <w:r>
        <w:t xml:space="preserve">Определил тип файлов и поддиректорий, находящихся в директории /var/www (рис. 9)</w:t>
      </w:r>
    </w:p>
    <w:p>
      <w:pPr>
        <w:pStyle w:val="CaptionedFigure"/>
      </w:pPr>
      <w:bookmarkStart w:id="39" w:name="fig:009"/>
      <w:r>
        <w:drawing>
          <wp:inline>
            <wp:extent cx="5334000" cy="3351967"/>
            <wp:effectExtent b="0" l="0" r="0" t="0"/>
            <wp:docPr descr="Figure 9: Определение типа файлов и поддиректорий, находящихся в директории /var/www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1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Определение типа файлов и поддиректорий, находящихся в директории /var/www</w:t>
      </w:r>
    </w:p>
    <w:p>
      <w:pPr>
        <w:numPr>
          <w:ilvl w:val="0"/>
          <w:numId w:val="1010"/>
        </w:numPr>
        <w:pStyle w:val="Compact"/>
      </w:pPr>
      <w:r>
        <w:t xml:space="preserve">Создал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 и проверял его конескст. (рис. 10) (рис. 11)</w:t>
      </w:r>
    </w:p>
    <w:p>
      <w:pPr>
        <w:pStyle w:val="FirstParagraph"/>
      </w:pPr>
      <w:r>
        <w:t xml:space="preserve">unconfined_u — прочие пользователи;</w:t>
      </w:r>
    </w:p>
    <w:p>
      <w:pPr>
        <w:pStyle w:val="BodyText"/>
      </w:pPr>
      <w:r>
        <w:t xml:space="preserve">object_r — роль, указываемая для объектов типа файл или каталог;</w:t>
      </w:r>
    </w:p>
    <w:p>
      <w:pPr>
        <w:pStyle w:val="BodyText"/>
      </w:pPr>
      <w:r>
        <w:t xml:space="preserve">httpd_sys_content_t- тип</w:t>
      </w:r>
    </w:p>
    <w:p>
      <w:pPr>
        <w:pStyle w:val="BodyText"/>
      </w:pPr>
      <w:r>
        <w:t xml:space="preserve">s0- уровень.</w:t>
      </w:r>
    </w:p>
    <w:p>
      <w:pPr>
        <w:pStyle w:val="CaptionedFigure"/>
      </w:pPr>
      <w:bookmarkStart w:id="41" w:name="fig:010"/>
      <w:r>
        <w:drawing>
          <wp:inline>
            <wp:extent cx="5334000" cy="4025796"/>
            <wp:effectExtent b="0" l="0" r="0" t="0"/>
            <wp:docPr descr="Figure 10: Создание html-файла и проверка его контекст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Создание html-файла и проверка его контекста</w:t>
      </w:r>
    </w:p>
    <w:p>
      <w:pPr>
        <w:pStyle w:val="CaptionedFigure"/>
      </w:pPr>
      <w:bookmarkStart w:id="43" w:name="fig:011"/>
      <w:r>
        <w:drawing>
          <wp:inline>
            <wp:extent cx="5334000" cy="3995071"/>
            <wp:effectExtent b="0" l="0" r="0" t="0"/>
            <wp:docPr descr="Figure 11: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Содержание файла</w:t>
      </w:r>
    </w:p>
    <w:p>
      <w:pPr>
        <w:numPr>
          <w:ilvl w:val="0"/>
          <w:numId w:val="1011"/>
        </w:numPr>
        <w:pStyle w:val="Compact"/>
      </w:pPr>
      <w:r>
        <w:t xml:space="preserve">Обратился к файлу через веб-сервер, введя в браузере адрес http://127.0.0.1/test.html (рис. 12)</w:t>
      </w:r>
    </w:p>
    <w:p>
      <w:pPr>
        <w:pStyle w:val="CaptionedFigure"/>
      </w:pPr>
      <w:bookmarkStart w:id="45" w:name="fig:012"/>
      <w:r>
        <w:drawing>
          <wp:inline>
            <wp:extent cx="5334000" cy="3595646"/>
            <wp:effectExtent b="0" l="0" r="0" t="0"/>
            <wp:docPr descr="Figure 12: Проверка html-файла в браузер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 html-файла в браузере</w:t>
      </w:r>
    </w:p>
    <w:p>
      <w:pPr>
        <w:numPr>
          <w:ilvl w:val="0"/>
          <w:numId w:val="1012"/>
        </w:numPr>
        <w:pStyle w:val="Compact"/>
      </w:pPr>
      <w:r>
        <w:t xml:space="preserve">Изменил контекст файла /var/www/html/test.html с httpd_sys_content_t на любой другой, к которому процесс httpd не должен иметь доступа, например, на samba_share_t: (рис. 13)</w:t>
      </w:r>
    </w:p>
    <w:p>
      <w:pPr>
        <w:pStyle w:val="CaptionedFigure"/>
      </w:pPr>
      <w:bookmarkStart w:id="47" w:name="fig:013"/>
      <w:r>
        <w:drawing>
          <wp:inline>
            <wp:extent cx="5334000" cy="4029489"/>
            <wp:effectExtent b="0" l="0" r="0" t="0"/>
            <wp:docPr descr="Figure 13: Изменение контекста файла /var/www/html/test.html и его проверк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Изменение контекста файла /var/www/html/test.html и его проверка</w:t>
      </w:r>
    </w:p>
    <w:p>
      <w:pPr>
        <w:numPr>
          <w:ilvl w:val="0"/>
          <w:numId w:val="1013"/>
        </w:numPr>
        <w:pStyle w:val="Compact"/>
      </w:pPr>
      <w:r>
        <w:t xml:space="preserve">Попробовал ещё раз получить доступ к файлу через веб-сервер, введя в браузере адрес http://127.0.0.1/test.html. (рис. 14)</w:t>
      </w:r>
    </w:p>
    <w:p>
      <w:pPr>
        <w:pStyle w:val="FirstParagraph"/>
      </w:pPr>
      <w:r>
        <w:t xml:space="preserve">Получил сообщение об ошибке: Forbidden</w:t>
      </w:r>
      <w:r>
        <w:t xml:space="preserve"> </w:t>
      </w:r>
      <w:r>
        <w:t xml:space="preserve">You don’t have permission to access /test.html on this server.</w:t>
      </w:r>
    </w:p>
    <w:p>
      <w:pPr>
        <w:pStyle w:val="CaptionedFigure"/>
      </w:pPr>
      <w:bookmarkStart w:id="49" w:name="fig:014"/>
      <w:r>
        <w:drawing>
          <wp:inline>
            <wp:extent cx="5334000" cy="3577184"/>
            <wp:effectExtent b="0" l="0" r="0" t="0"/>
            <wp:docPr descr="Figure 14: Проверка html-файла в браузер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Проверка html-файла в браузере</w:t>
      </w:r>
    </w:p>
    <w:p>
      <w:pPr>
        <w:numPr>
          <w:ilvl w:val="0"/>
          <w:numId w:val="1014"/>
        </w:numPr>
        <w:pStyle w:val="Compact"/>
      </w:pPr>
      <w:r>
        <w:t xml:space="preserve">Проанализировал ситуацию. (рис. 15) и просмотрел log-файлы веб-сервера Apache(рис. 16)</w:t>
      </w:r>
    </w:p>
    <w:p>
      <w:pPr>
        <w:pStyle w:val="FirstParagraph"/>
      </w:pPr>
      <w:r>
        <w:t xml:space="preserve">Заметил что не отображен потому что у httpd не доступа к типу файла. SeLinux запретил доступ из за разницы в контекстах.</w:t>
      </w:r>
    </w:p>
    <w:p>
      <w:pPr>
        <w:pStyle w:val="CaptionedFigure"/>
      </w:pPr>
      <w:bookmarkStart w:id="50" w:name="fig:015"/>
      <w:r>
        <w:drawing>
          <wp:inline>
            <wp:extent cx="5334000" cy="3595646"/>
            <wp:effectExtent b="0" l="0" r="0" t="0"/>
            <wp:docPr descr="Figure 15: Анализ ситуации.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Анализ ситуации.</w:t>
      </w:r>
    </w:p>
    <w:p>
      <w:pPr>
        <w:pStyle w:val="CaptionedFigure"/>
      </w:pPr>
      <w:bookmarkStart w:id="52" w:name="fig:016"/>
      <w:r>
        <w:drawing>
          <wp:inline>
            <wp:extent cx="5334000" cy="4609271"/>
            <wp:effectExtent b="0" l="0" r="0" t="0"/>
            <wp:docPr descr="Figure 16: Проверка логи /var/log/messages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Проверка логи /var/log/messages</w:t>
      </w:r>
    </w:p>
    <w:p>
      <w:pPr>
        <w:numPr>
          <w:ilvl w:val="0"/>
          <w:numId w:val="1015"/>
        </w:numPr>
        <w:pStyle w:val="Compact"/>
      </w:pPr>
      <w:r>
        <w:t xml:space="preserve">Попробовал запустить веб-сервер Apache на прослушивание ТСР-порта 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нашёл строчку Listen 80 и заменил её на Listen 81. (рис. 17)</w:t>
      </w:r>
    </w:p>
    <w:p>
      <w:pPr>
        <w:pStyle w:val="CaptionedFigure"/>
      </w:pPr>
      <w:bookmarkStart w:id="54" w:name="fig:017"/>
      <w:r>
        <w:drawing>
          <wp:inline>
            <wp:extent cx="5334000" cy="4640146"/>
            <wp:effectExtent b="0" l="0" r="0" t="0"/>
            <wp:docPr descr="Figure 17: Замена порта прослушивание ТСР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Замена порта прослушивание ТСР</w:t>
      </w:r>
    </w:p>
    <w:p>
      <w:pPr>
        <w:numPr>
          <w:ilvl w:val="0"/>
          <w:numId w:val="1016"/>
        </w:numPr>
        <w:pStyle w:val="Compact"/>
      </w:pPr>
      <w:r>
        <w:t xml:space="preserve">Выполнил перезапуск веб-сервера Apache. (рис. 18)</w:t>
      </w:r>
    </w:p>
    <w:p>
      <w:pPr>
        <w:pStyle w:val="CaptionedFigure"/>
      </w:pPr>
      <w:bookmarkStart w:id="56" w:name="fig:018"/>
      <w:r>
        <w:drawing>
          <wp:inline>
            <wp:extent cx="5334000" cy="3837164"/>
            <wp:effectExtent b="0" l="0" r="0" t="0"/>
            <wp:docPr descr="Figure 18: Выполнение перезапуска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Выполнение перезапуска веб-сервера Apache</w:t>
      </w:r>
    </w:p>
    <w:p>
      <w:pPr>
        <w:numPr>
          <w:ilvl w:val="0"/>
          <w:numId w:val="1017"/>
        </w:numPr>
        <w:pStyle w:val="Compact"/>
      </w:pPr>
      <w:r>
        <w:t xml:space="preserve">Проанализировал лог-файлы: (рис. 19)</w:t>
      </w:r>
    </w:p>
    <w:p>
      <w:pPr>
        <w:pStyle w:val="FirstParagraph"/>
      </w:pPr>
      <w:r>
        <w:t xml:space="preserve">Мы можем видить что нет ошибок.</w:t>
      </w:r>
    </w:p>
    <w:p>
      <w:pPr>
        <w:pStyle w:val="CaptionedFigure"/>
      </w:pPr>
      <w:bookmarkStart w:id="58" w:name="fig:019"/>
      <w:r>
        <w:drawing>
          <wp:inline>
            <wp:extent cx="5334000" cy="462836"/>
            <wp:effectExtent b="0" l="0" r="0" t="0"/>
            <wp:docPr descr="Figure 19: Анализ лог-файлы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Анализ лог-файлы</w:t>
      </w:r>
    </w:p>
    <w:p>
      <w:pPr>
        <w:numPr>
          <w:ilvl w:val="0"/>
          <w:numId w:val="1018"/>
        </w:numPr>
        <w:pStyle w:val="Compact"/>
      </w:pPr>
      <w:r>
        <w:t xml:space="preserve">Просмотел файлы /var/log/http/error_log, /var/log/http/access_log и /var/log/audit/audit.log (рис. 20)(рис. 21)(рис. 22)</w:t>
      </w:r>
    </w:p>
    <w:p>
      <w:pPr>
        <w:pStyle w:val="CaptionedFigure"/>
      </w:pPr>
      <w:bookmarkStart w:id="60" w:name="fig:020"/>
      <w:r>
        <w:drawing>
          <wp:inline>
            <wp:extent cx="5334000" cy="3593765"/>
            <wp:effectExtent b="0" l="0" r="0" t="0"/>
            <wp:docPr descr="Figure 20: Просмотр файла /var/log/http/error_log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Просмотр файла /var/log/http/error_log</w:t>
      </w:r>
    </w:p>
    <w:p>
      <w:pPr>
        <w:pStyle w:val="CaptionedFigure"/>
      </w:pPr>
      <w:bookmarkStart w:id="62" w:name="fig:021"/>
      <w:r>
        <w:drawing>
          <wp:inline>
            <wp:extent cx="5334000" cy="2246856"/>
            <wp:effectExtent b="0" l="0" r="0" t="0"/>
            <wp:docPr descr="Figure 21: Просмотр файла /var/log/http/access_log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Просмотр файла /var/log/http/access_log</w:t>
      </w:r>
    </w:p>
    <w:p>
      <w:pPr>
        <w:pStyle w:val="CaptionedFigure"/>
      </w:pPr>
      <w:bookmarkStart w:id="64" w:name="fig:022"/>
      <w:r>
        <w:drawing>
          <wp:inline>
            <wp:extent cx="5334000" cy="3584628"/>
            <wp:effectExtent b="0" l="0" r="0" t="0"/>
            <wp:docPr descr="Figure 22: Просмотр файла /var/log/audit/audit.log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Просмотр файла /var/log/audit/audit.log</w:t>
      </w:r>
    </w:p>
    <w:p>
      <w:pPr>
        <w:numPr>
          <w:ilvl w:val="0"/>
          <w:numId w:val="1019"/>
        </w:numPr>
        <w:pStyle w:val="Compact"/>
      </w:pPr>
      <w:r>
        <w:t xml:space="preserve">Выполнил команду semanage port -a -t http_port_t -р tcp 81. После этого проверил список портов командой (рис. 23)</w:t>
      </w:r>
    </w:p>
    <w:p>
      <w:pPr>
        <w:pStyle w:val="FirstParagraph"/>
      </w:pPr>
      <w:r>
        <w:t xml:space="preserve">Убедился, что порт 81 появился в списке.</w:t>
      </w:r>
    </w:p>
    <w:p>
      <w:pPr>
        <w:pStyle w:val="CaptionedFigure"/>
      </w:pPr>
      <w:bookmarkStart w:id="66" w:name="fig:023"/>
      <w:r>
        <w:drawing>
          <wp:inline>
            <wp:extent cx="5334000" cy="2573461"/>
            <wp:effectExtent b="0" l="0" r="0" t="0"/>
            <wp:docPr descr="Figure 23: Добавление порта 81 и проверка список портов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Добавление порта 81 и проверка список портов</w:t>
      </w:r>
    </w:p>
    <w:p>
      <w:pPr>
        <w:numPr>
          <w:ilvl w:val="0"/>
          <w:numId w:val="1020"/>
        </w:numPr>
        <w:pStyle w:val="Compact"/>
      </w:pPr>
      <w:r>
        <w:t xml:space="preserve">Попробовал запустить веб-сервер Apache ещё раз. (рис. 24)</w:t>
      </w:r>
    </w:p>
    <w:p>
      <w:pPr>
        <w:pStyle w:val="CaptionedFigure"/>
      </w:pPr>
      <w:bookmarkStart w:id="68" w:name="fig:024"/>
      <w:r>
        <w:drawing>
          <wp:inline>
            <wp:extent cx="5334000" cy="3599882"/>
            <wp:effectExtent b="0" l="0" r="0" t="0"/>
            <wp:docPr descr="Figure 24: Попытка запуски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Попытка запуски веб-сервер Apache</w:t>
      </w:r>
    </w:p>
    <w:p>
      <w:pPr>
        <w:numPr>
          <w:ilvl w:val="0"/>
          <w:numId w:val="1021"/>
        </w:numPr>
        <w:pStyle w:val="Compact"/>
      </w:pPr>
      <w:r>
        <w:t xml:space="preserve">Вернил контекст httpd_sys_cоntent__t к файлу /var/www/html/ test.html:(рис. 25)</w:t>
      </w:r>
    </w:p>
    <w:p>
      <w:pPr>
        <w:pStyle w:val="FirstParagraph"/>
      </w:pPr>
      <w:r>
        <w:t xml:space="preserve">chcon -t httpd_sys_content_t /var/www/html/test.html.</w:t>
      </w:r>
    </w:p>
    <w:p>
      <w:pPr>
        <w:pStyle w:val="CaptionedFigure"/>
      </w:pPr>
      <w:bookmarkStart w:id="70" w:name="fig:025"/>
      <w:r>
        <w:drawing>
          <wp:inline>
            <wp:extent cx="5334000" cy="1667159"/>
            <wp:effectExtent b="0" l="0" r="0" t="0"/>
            <wp:docPr descr="Figure 25: Возвращение конекста файл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Возвращение конекста файла</w:t>
      </w:r>
    </w:p>
    <w:p>
      <w:pPr>
        <w:numPr>
          <w:ilvl w:val="0"/>
          <w:numId w:val="1022"/>
        </w:numPr>
        <w:pStyle w:val="Compact"/>
      </w:pPr>
      <w:r>
        <w:t xml:space="preserve">Попробовал получить доступ к файлу через веб-сервер, введя в браузере адрес http://127.0.0.1:81/test.html. (рис. 26)</w:t>
      </w:r>
    </w:p>
    <w:p>
      <w:pPr>
        <w:pStyle w:val="CaptionedFigure"/>
      </w:pPr>
      <w:bookmarkStart w:id="72" w:name="fig:026"/>
      <w:r>
        <w:drawing>
          <wp:inline>
            <wp:extent cx="5334000" cy="3584775"/>
            <wp:effectExtent b="0" l="0" r="0" t="0"/>
            <wp:docPr descr="Figure 26: Попытка получения доступа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Попытка получения доступа к файлу через веб-сервер</w:t>
      </w:r>
    </w:p>
    <w:p>
      <w:pPr>
        <w:numPr>
          <w:ilvl w:val="0"/>
          <w:numId w:val="1023"/>
        </w:numPr>
        <w:pStyle w:val="Compact"/>
      </w:pPr>
      <w:r>
        <w:t xml:space="preserve">Исправил обратно конфигурационный файл apache, вернув Listen 80. (рис. 27)</w:t>
      </w:r>
    </w:p>
    <w:p>
      <w:pPr>
        <w:pStyle w:val="CaptionedFigure"/>
      </w:pPr>
      <w:bookmarkStart w:id="74" w:name="fig:027"/>
      <w:r>
        <w:drawing>
          <wp:inline>
            <wp:extent cx="5334000" cy="3603069"/>
            <wp:effectExtent b="0" l="0" r="0" t="0"/>
            <wp:docPr descr="Figure 27: Исправления обратно конфигурационный файл apache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Исправления обратно конфигурационный файл apache</w:t>
      </w:r>
    </w:p>
    <w:p>
      <w:pPr>
        <w:numPr>
          <w:ilvl w:val="0"/>
          <w:numId w:val="1024"/>
        </w:numPr>
        <w:pStyle w:val="Compact"/>
      </w:pPr>
      <w:r>
        <w:t xml:space="preserve">Удалил привязку http_port_t к 81 порту и удалил файл /var/www/html/test.html. (рис. 28)</w:t>
      </w:r>
    </w:p>
    <w:p>
      <w:pPr>
        <w:pStyle w:val="FirstParagraph"/>
      </w:pPr>
      <w:r>
        <w:t xml:space="preserve">Не получилось удалить привязку так как он определен на уровне политики.</w:t>
      </w:r>
    </w:p>
    <w:p>
      <w:pPr>
        <w:pStyle w:val="CaptionedFigure"/>
      </w:pPr>
      <w:bookmarkStart w:id="76" w:name="fig:028"/>
      <w:r>
        <w:drawing>
          <wp:inline>
            <wp:extent cx="5334000" cy="2925331"/>
            <wp:effectExtent b="0" l="0" r="0" t="0"/>
            <wp:docPr descr="Figure 28: Удаление привязки http_port_t к 81 порту и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Удаление привязки http_port_t к 81 порту и файла /var/www/html/test.html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SELinux.</w:t>
      </w:r>
      <w:r>
        <w:t xml:space="preserve"> </w:t>
      </w:r>
      <w:r>
        <w:t xml:space="preserve">Проверил работу SELinx на практике совместно с веб-сервером Apache.</w:t>
      </w:r>
    </w:p>
    <w:bookmarkEnd w:id="78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5"/>
        </w:numPr>
      </w:pPr>
      <w:r>
        <w:t xml:space="preserve">Security-Enhanced Linux. Linux с улучшенной безопасностью: руководство пользователя / M. McAllister, S. Radvan, D. Walsh, D. Grift, E. Paris, J. Morris. — URL: https://docs-old.fedoraproject.org/ru-RU/Fedora/13/html/Security-Enhanced_Linux/index.html.</w:t>
      </w:r>
    </w:p>
    <w:p>
      <w:pPr>
        <w:numPr>
          <w:ilvl w:val="0"/>
          <w:numId w:val="1025"/>
        </w:numPr>
      </w:pPr>
      <w:r>
        <w:t xml:space="preserve">SELinux – описание и особенности работы с системой. Часть 1: автор / itNews. — URL: https://habr.com/ru/company/kingservers/blog/209644/. (дата обращения 20.01.2014).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7b86e438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387f082c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cebfcc7d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7cc89fe4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fd23932f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bcc5f24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ea63e02b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c9be6b2a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f5f50f4f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57" Target="media/rId5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Гебриал Ибрам Есам Зекри НПИ-01-18</dc:creator>
  <dc:language>ru-RU</dc:language>
  <cp:keywords/>
  <dcterms:created xsi:type="dcterms:W3CDTF">2021-11-27T00:46:14Z</dcterms:created>
  <dcterms:modified xsi:type="dcterms:W3CDTF">2021-11-27T00:46:14Z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Мандатное разграничение прав в Linux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