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</w:p>
    <w:p>
      <w:pPr>
        <w:pStyle w:val="BodyText"/>
      </w:pPr>
      <w:r>
        <w:rPr>
          <w:iCs/>
          <w:i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) между элементами гаммы и элементами подлежащего сокрытию текста. Напомним, как работает операция XOR над битами:</w:t>
      </w:r>
      <w:r>
        <w:t xml:space="preserve"> </w:t>
      </w:r>
      <m:oMath>
        <m:r>
          <m:t>0</m:t>
        </m:r>
        <m:r>
          <m:rPr>
            <m:sty m:val="p"/>
          </m:rPr>
          <m:t>⊕</m:t>
        </m:r>
        <m:r>
          <m:t>0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⊕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⊕</m:t>
        </m:r>
        <m:r>
          <m:t>0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⊕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исходноезначение, а шифрование и расшифрование выполняется одной и той же программой.</w:t>
      </w:r>
      <w:r>
        <w:t xml:space="preserve"> </w:t>
      </w: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ключа, i = 1, m. Размерности открытого текста и ключа должны совпадать, и полученный шифротекст будет такой же длины.</w:t>
      </w:r>
      <w:r>
        <w:t xml:space="preserve"> </w:t>
      </w:r>
      <w:r>
        <w:t xml:space="preserve">Если известны шифротекст и открытый текст, то задача нахождения ключа решается также, а именно, обе части равенства необходимо сложить по модулю 2 с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  <w:r>
        <w:t xml:space="preserve"> </w:t>
      </w: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 [1]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блок функции для расчетов. (рис. 1)</w:t>
      </w:r>
    </w:p>
    <w:p>
      <w:pPr>
        <w:pStyle w:val="CaptionedFigure"/>
      </w:pPr>
      <w:bookmarkStart w:id="23" w:name="fig:001"/>
      <w:r>
        <w:drawing>
          <wp:inline>
            <wp:extent cx="5334000" cy="1486053"/>
            <wp:effectExtent b="0" l="0" r="0" t="0"/>
            <wp:docPr descr="Figure 1: Блок функции для расчет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Блок функции для расчетов</w:t>
      </w:r>
    </w:p>
    <w:p>
      <w:pPr>
        <w:numPr>
          <w:ilvl w:val="0"/>
          <w:numId w:val="1002"/>
        </w:numPr>
        <w:pStyle w:val="Compact"/>
      </w:pPr>
      <w:r>
        <w:t xml:space="preserve">Определил вид шифротекста при известном ключе и известном открытом тексте. (рис. 2)</w:t>
      </w:r>
    </w:p>
    <w:p>
      <w:pPr>
        <w:pStyle w:val="CaptionedFigure"/>
      </w:pPr>
      <w:bookmarkStart w:id="25" w:name="fig:002"/>
      <w:r>
        <w:drawing>
          <wp:inline>
            <wp:extent cx="5334000" cy="1661297"/>
            <wp:effectExtent b="0" l="0" r="0" t="0"/>
            <wp:docPr descr="Figure 2: Задание 1. Получение шифротекс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Задание 1. Получение шифротекста</w:t>
      </w:r>
    </w:p>
    <w:p>
      <w:pPr>
        <w:numPr>
          <w:ilvl w:val="0"/>
          <w:numId w:val="1003"/>
        </w:numPr>
        <w:pStyle w:val="Compact"/>
      </w:pPr>
      <w:r>
        <w:t xml:space="preserve">Определил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(рис. 3)</w:t>
      </w:r>
    </w:p>
    <w:p>
      <w:pPr>
        <w:pStyle w:val="CaptionedFigure"/>
      </w:pPr>
      <w:bookmarkStart w:id="27" w:name="fig:003"/>
      <w:r>
        <w:drawing>
          <wp:inline>
            <wp:extent cx="5334000" cy="944228"/>
            <wp:effectExtent b="0" l="0" r="0" t="0"/>
            <wp:docPr descr="Figure 3: Один из вариантов прочения открытого текста: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Один из вариантов прочения открытого текста:</w:t>
      </w:r>
    </w:p>
    <w:bookmarkEnd w:id="28"/>
    <w:bookmarkStart w:id="2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Гаммирование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гаммапоследовательностью и используется для зашифровывания и расшифровывания данных.</w:t>
      </w:r>
    </w:p>
    <w:p>
      <w:pPr>
        <w:numPr>
          <w:ilvl w:val="0"/>
          <w:numId w:val="1005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Ключ одного размера с сообщением, на один ключ используется только один текст.</w:t>
      </w:r>
    </w:p>
    <w:p>
      <w:pPr>
        <w:numPr>
          <w:ilvl w:val="0"/>
          <w:numId w:val="1006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Простота и криптостойкость.</w:t>
      </w:r>
    </w:p>
    <w:p>
      <w:pPr>
        <w:numPr>
          <w:ilvl w:val="0"/>
          <w:numId w:val="1007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Каждый символ текста попарно складывается с символом ключа.</w:t>
      </w:r>
    </w:p>
    <w:p>
      <w:pPr>
        <w:numPr>
          <w:ilvl w:val="0"/>
          <w:numId w:val="1008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Сложение по модулю 2. Особенность в симметричности – оерация при повторном применении дает исходний результат.</w:t>
      </w:r>
    </w:p>
    <w:p>
      <w:pPr>
        <w:numPr>
          <w:ilvl w:val="0"/>
          <w:numId w:val="1009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Сложить по модулю 2 каждый символ открытого текста и ключа.</w:t>
      </w:r>
    </w:p>
    <w:p>
      <w:pPr>
        <w:numPr>
          <w:ilvl w:val="0"/>
          <w:numId w:val="1010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Сложить по модулю 2 каждый символ открытого текста и шифротекста.</w:t>
      </w:r>
    </w:p>
    <w:p>
      <w:pPr>
        <w:numPr>
          <w:ilvl w:val="0"/>
          <w:numId w:val="1011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numPr>
          <w:ilvl w:val="0"/>
          <w:numId w:val="1012"/>
        </w:numPr>
        <w:pStyle w:val="Compact"/>
      </w:pPr>
      <w:r>
        <w:t xml:space="preserve">полная случайность ключа;</w:t>
      </w:r>
    </w:p>
    <w:p>
      <w:pPr>
        <w:numPr>
          <w:ilvl w:val="0"/>
          <w:numId w:val="1012"/>
        </w:numPr>
        <w:pStyle w:val="Compact"/>
      </w:pPr>
      <w:r>
        <w:t xml:space="preserve">равенство длин ключа и открытого текста;</w:t>
      </w:r>
    </w:p>
    <w:p>
      <w:pPr>
        <w:numPr>
          <w:ilvl w:val="0"/>
          <w:numId w:val="1012"/>
        </w:numPr>
        <w:pStyle w:val="Compact"/>
      </w:pPr>
      <w:r>
        <w:t xml:space="preserve">однократное использование ключа.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гаммирования.</w:t>
      </w:r>
    </w:p>
    <w:bookmarkEnd w:id="30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3"/>
        </w:numPr>
        <w:pStyle w:val="Compact"/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41f388d6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Гебриал Ибрам Есам Зекри НПИ-01-18</dc:creator>
  <dc:language>ru-RU</dc:language>
  <cp:keywords/>
  <dcterms:created xsi:type="dcterms:W3CDTF">2021-12-10T22:53:50Z</dcterms:created>
  <dcterms:modified xsi:type="dcterms:W3CDTF">2021-12-10T22:53:50Z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Элементы криптографии. Однократное гаммирование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