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FinnWey</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Concepción, Chile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16/11/25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6</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bl>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24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Aquí tienes el análisis para la retrospectiva del Sprint 6.</w:t>
            </w:r>
          </w:p>
          <w:p w:rsidR="00000000" w:rsidDel="00000000" w:rsidP="00000000" w:rsidRDefault="00000000" w:rsidRPr="00000000" w14:paraId="0000002C">
            <w:pPr>
              <w:spacing w:after="240" w:before="24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Este sprint es particularmente interesante porque se centró casi exclusivamente en </w:t>
            </w:r>
            <w:r w:rsidDel="00000000" w:rsidR="00000000" w:rsidRPr="00000000">
              <w:rPr>
                <w:rFonts w:ascii="Arial" w:cs="Arial" w:eastAsia="Arial" w:hAnsi="Arial"/>
                <w:b w:val="1"/>
                <w:bCs w:val="1"/>
                <w:color w:val="365f91"/>
                <w:sz w:val="24"/>
                <w:szCs w:val="24"/>
                <w:rtl w:val="0"/>
              </w:rPr>
              <w:t xml:space="preserve">Visualización de Datos (Dashboards/Gráficos)</w:t>
            </w:r>
            <w:r w:rsidDel="00000000" w:rsidR="00000000" w:rsidRPr="00000000">
              <w:rPr>
                <w:rFonts w:ascii="Arial" w:cs="Arial" w:eastAsia="Arial" w:hAnsi="Arial"/>
                <w:color w:val="365f91"/>
                <w:sz w:val="24"/>
                <w:szCs w:val="24"/>
                <w:rtl w:val="0"/>
              </w:rPr>
              <w:t xml:space="preserve"> y Lógica de Recomendaciones. Los datos muestran que el equipo ha madurado en la distribución de cargas, pero sigue tropezando con la "confianza excesiva" en tareas pequeñas.</w:t>
            </w:r>
          </w:p>
          <w:p w:rsidR="00000000" w:rsidDel="00000000" w:rsidP="00000000" w:rsidRDefault="00000000" w:rsidRPr="00000000" w14:paraId="0000002D">
            <w:pPr>
              <w:pStyle w:val="Heading3"/>
              <w:keepNext w:val="0"/>
              <w:keepLines w:val="0"/>
              <w:spacing w:line="240" w:lineRule="auto"/>
              <w:rPr>
                <w:rFonts w:ascii="Arial" w:cs="Arial" w:eastAsia="Arial" w:hAnsi="Arial"/>
                <w:color w:val="365f91"/>
                <w:sz w:val="26"/>
                <w:szCs w:val="26"/>
              </w:rPr>
            </w:pPr>
            <w:bookmarkStart w:colFirst="0" w:colLast="0" w:name="_heading=h.586e41n2vcxk" w:id="0"/>
            <w:bookmarkEnd w:id="0"/>
            <w:r w:rsidDel="00000000" w:rsidR="00000000" w:rsidRPr="00000000">
              <w:rPr>
                <w:rFonts w:ascii="Arial" w:cs="Arial" w:eastAsia="Arial" w:hAnsi="Arial"/>
                <w:color w:val="365f91"/>
                <w:sz w:val="26"/>
                <w:szCs w:val="26"/>
                <w:rtl w:val="0"/>
              </w:rPr>
              <w:t xml:space="preserve">1. ¿Qué salió bien en la iteración? (Aciertos)</w:t>
            </w:r>
          </w:p>
          <w:p w:rsidR="00000000" w:rsidDel="00000000" w:rsidP="00000000" w:rsidRDefault="00000000" w:rsidRPr="00000000" w14:paraId="0000002E">
            <w:pPr>
              <w:numPr>
                <w:ilvl w:val="0"/>
                <w:numId w:val="1"/>
              </w:numPr>
              <w:spacing w:after="0" w:afterAutospacing="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Curva de Aprendizaje Superada (Efecto Librería):</w:t>
            </w:r>
            <w:r w:rsidDel="00000000" w:rsidR="00000000" w:rsidRPr="00000000">
              <w:rPr>
                <w:rFonts w:ascii="Arial" w:cs="Arial" w:eastAsia="Arial" w:hAnsi="Arial"/>
                <w:color w:val="365f91"/>
                <w:sz w:val="24"/>
                <w:szCs w:val="24"/>
                <w:rtl w:val="0"/>
              </w:rPr>
              <w:t xml:space="preserve"> Se observa un patrón claro de aprendizaje técnico. La primera tarea gráfica (HU-19 Gráfico Circular/Pie Chart) tuvo un desvío (+1 hora). Sin embargo, las siguientes tareas gráficas (HU-20 Gráfico de Línea y HU-21 Comparativa) fueron </w:t>
            </w:r>
            <w:r w:rsidDel="00000000" w:rsidR="00000000" w:rsidRPr="00000000">
              <w:rPr>
                <w:rFonts w:ascii="Arial" w:cs="Arial" w:eastAsia="Arial" w:hAnsi="Arial"/>
                <w:b w:val="1"/>
                <w:bCs w:val="1"/>
                <w:color w:val="365f91"/>
                <w:sz w:val="24"/>
                <w:szCs w:val="24"/>
                <w:rtl w:val="0"/>
              </w:rPr>
              <w:t xml:space="preserve">perfectas en su estimación</w:t>
            </w:r>
            <w:r w:rsidDel="00000000" w:rsidR="00000000" w:rsidRPr="00000000">
              <w:rPr>
                <w:rFonts w:ascii="Arial" w:cs="Arial" w:eastAsia="Arial" w:hAnsi="Arial"/>
                <w:color w:val="365f91"/>
                <w:sz w:val="24"/>
                <w:szCs w:val="24"/>
                <w:rtl w:val="0"/>
              </w:rPr>
              <w:t xml:space="preserve">. Esto sugiere que lo que aprendieron configurando la librería gráfica en la primera historia, lo aplicaron eficientemente en las siguientes.</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Distribución de Carga "Matemáticamente Perfecta":</w:t>
            </w:r>
            <w:r w:rsidDel="00000000" w:rsidR="00000000" w:rsidRPr="00000000">
              <w:rPr>
                <w:rFonts w:ascii="Arial" w:cs="Arial" w:eastAsia="Arial" w:hAnsi="Arial"/>
                <w:color w:val="365f91"/>
                <w:sz w:val="24"/>
                <w:szCs w:val="24"/>
                <w:rtl w:val="0"/>
              </w:rPr>
              <w:t xml:space="preserve"> Este es el sprint más equilibrado hasta la fecha.</w:t>
            </w:r>
          </w:p>
          <w:p w:rsidR="00000000" w:rsidDel="00000000" w:rsidP="00000000" w:rsidRDefault="00000000" w:rsidRPr="00000000" w14:paraId="00000030">
            <w:pPr>
              <w:numPr>
                <w:ilvl w:val="1"/>
                <w:numId w:val="1"/>
              </w:numPr>
              <w:spacing w:after="0" w:afterAutospacing="0" w:before="0" w:beforeAutospacing="0" w:line="240" w:lineRule="auto"/>
              <w:ind w:left="144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Matías: 8 horas realizadas.</w:t>
            </w:r>
          </w:p>
          <w:p w:rsidR="00000000" w:rsidDel="00000000" w:rsidP="00000000" w:rsidRDefault="00000000" w:rsidRPr="00000000" w14:paraId="00000031">
            <w:pPr>
              <w:numPr>
                <w:ilvl w:val="1"/>
                <w:numId w:val="1"/>
              </w:numPr>
              <w:spacing w:after="0" w:afterAutospacing="0" w:before="0" w:beforeAutospacing="0" w:line="240" w:lineRule="auto"/>
              <w:ind w:left="144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Brayan: 8 horas realizadas.</w:t>
            </w:r>
          </w:p>
          <w:p w:rsidR="00000000" w:rsidDel="00000000" w:rsidP="00000000" w:rsidRDefault="00000000" w:rsidRPr="00000000" w14:paraId="00000032">
            <w:pPr>
              <w:numPr>
                <w:ilvl w:val="1"/>
                <w:numId w:val="1"/>
              </w:numPr>
              <w:spacing w:after="0" w:afterAutospacing="0" w:before="0" w:beforeAutospacing="0" w:line="240" w:lineRule="auto"/>
              <w:ind w:left="144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Felipe: 8 horas realizadas.</w:t>
            </w:r>
          </w:p>
          <w:p w:rsidR="00000000" w:rsidDel="00000000" w:rsidP="00000000" w:rsidRDefault="00000000" w:rsidRPr="00000000" w14:paraId="00000033">
            <w:pPr>
              <w:numPr>
                <w:ilvl w:val="1"/>
                <w:numId w:val="1"/>
              </w:numPr>
              <w:spacing w:after="0" w:afterAutospacing="0" w:before="0" w:beforeAutospacing="0" w:line="240" w:lineRule="auto"/>
              <w:ind w:left="144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está trabajando en completa sintonía en cuanto a esfuerzo individual.</w:t>
            </w:r>
          </w:p>
          <w:p w:rsidR="00000000" w:rsidDel="00000000" w:rsidP="00000000" w:rsidRDefault="00000000" w:rsidRPr="00000000" w14:paraId="00000034">
            <w:pPr>
              <w:numPr>
                <w:ilvl w:val="0"/>
                <w:numId w:val="1"/>
              </w:numPr>
              <w:spacing w:after="24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Finalización Fuerte (Sprint Goal):</w:t>
            </w:r>
            <w:r w:rsidDel="00000000" w:rsidR="00000000" w:rsidRPr="00000000">
              <w:rPr>
                <w:rFonts w:ascii="Arial" w:cs="Arial" w:eastAsia="Arial" w:hAnsi="Arial"/>
                <w:color w:val="365f91"/>
                <w:sz w:val="24"/>
                <w:szCs w:val="24"/>
                <w:rtl w:val="0"/>
              </w:rPr>
              <w:t xml:space="preserve"> Se entregaron todas las funcionalidades visuales (Charts y Tips), lo cual suele ser difícil por los ajustes de UI que requieren los gráficos. Todo quedó en estado "A".</w:t>
            </w: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Riesgo de "Cuello de Botella" al final (Día 5):</w:t>
            </w:r>
            <w:r w:rsidDel="00000000" w:rsidR="00000000" w:rsidRPr="00000000">
              <w:rPr>
                <w:rFonts w:ascii="Arial" w:cs="Arial" w:eastAsia="Arial" w:hAnsi="Arial"/>
                <w:color w:val="365f91"/>
                <w:sz w:val="24"/>
                <w:szCs w:val="24"/>
                <w:rtl w:val="0"/>
              </w:rPr>
              <w:t xml:space="preserve"> La tarea T22-02 (implementación de parte de los Tips) se realizó íntegramente el Día 5 (2 horas de golpe). Si hubiera surgido un bug ese día, la historia HU-22 no se habría cerrado. Dejar tareas completas para el último día es una apuesta arriesgada.</w:t>
            </w:r>
          </w:p>
          <w:p w:rsidR="00000000" w:rsidDel="00000000" w:rsidP="00000000" w:rsidRDefault="00000000" w:rsidRPr="00000000" w14:paraId="00000036">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Paradoja de la Tarea "Sencilla":</w:t>
            </w:r>
            <w:r w:rsidDel="00000000" w:rsidR="00000000" w:rsidRPr="00000000">
              <w:rPr>
                <w:rFonts w:ascii="Arial" w:cs="Arial" w:eastAsia="Arial" w:hAnsi="Arial"/>
                <w:color w:val="365f91"/>
                <w:sz w:val="24"/>
                <w:szCs w:val="24"/>
                <w:rtl w:val="0"/>
              </w:rPr>
              <w:t xml:space="preserve"> La HU-23 ("Tips genéricos"), que sobre el papel era la más fácil (solo 2 horas estimadas porque no requería gran data), terminó costando un </w:t>
            </w:r>
            <w:r w:rsidDel="00000000" w:rsidR="00000000" w:rsidRPr="00000000">
              <w:rPr>
                <w:rFonts w:ascii="Arial" w:cs="Arial" w:eastAsia="Arial" w:hAnsi="Arial"/>
                <w:b w:val="1"/>
                <w:bCs w:val="1"/>
                <w:color w:val="365f91"/>
                <w:sz w:val="24"/>
                <w:szCs w:val="24"/>
                <w:rtl w:val="0"/>
              </w:rPr>
              <w:t xml:space="preserve">50% más de lo planeado</w:t>
            </w:r>
            <w:r w:rsidDel="00000000" w:rsidR="00000000" w:rsidRPr="00000000">
              <w:rPr>
                <w:rFonts w:ascii="Arial" w:cs="Arial" w:eastAsia="Arial" w:hAnsi="Arial"/>
                <w:color w:val="365f91"/>
                <w:sz w:val="24"/>
                <w:szCs w:val="24"/>
                <w:rtl w:val="0"/>
              </w:rPr>
              <w:t xml:space="preserve"> (3 horas). A veces, manejar los casos "vacíos" o "default" es más tedioso que la lógica compleja.</w:t>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Inicio Tardío de Felipe en HU-21:</w:t>
            </w:r>
            <w:r w:rsidDel="00000000" w:rsidR="00000000" w:rsidRPr="00000000">
              <w:rPr>
                <w:rFonts w:ascii="Arial" w:cs="Arial" w:eastAsia="Arial" w:hAnsi="Arial"/>
                <w:color w:val="365f91"/>
                <w:sz w:val="24"/>
                <w:szCs w:val="24"/>
                <w:rtl w:val="0"/>
              </w:rPr>
              <w:t xml:space="preserve"> Felipe comenzó a trabajar en sus tareas principales (HU-21) recién el Día 3. Los días 1 y 2 tuvo carga cero en esas tareas específicas (trabajó en la HU-23 el día 1). Esto retrasa el feedback del PO sobre los gráficos hasta mitad de semana.</w:t>
            </w:r>
          </w:p>
        </w:tc>
        <w:tc>
          <w:tcPr>
            <w:vAlign w:val="top"/>
          </w:tcPr>
          <w:p w:rsidR="00000000" w:rsidDel="00000000" w:rsidP="00000000" w:rsidRDefault="00000000" w:rsidRPr="00000000" w14:paraId="00000038">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Regla de "Librerías Primero":</w:t>
            </w:r>
            <w:r w:rsidDel="00000000" w:rsidR="00000000" w:rsidRPr="00000000">
              <w:rPr>
                <w:rFonts w:ascii="Arial" w:cs="Arial" w:eastAsia="Arial" w:hAnsi="Arial"/>
                <w:color w:val="365f91"/>
                <w:sz w:val="24"/>
                <w:szCs w:val="24"/>
                <w:rtl w:val="0"/>
              </w:rPr>
              <w:t xml:space="preserve"> Cuando un sprint tenga muchas tareas dependientes de una misma tecnología nueva (ej. una librería de gráficos), la primera tarea que la implemente debe tener un "Buffer de Investigación" en la estimación. El desvío en HU-19 (T19-01) confirmó esto.</w:t>
            </w:r>
          </w:p>
          <w:p w:rsidR="00000000" w:rsidDel="00000000" w:rsidP="00000000" w:rsidRDefault="00000000" w:rsidRPr="00000000" w14:paraId="00000039">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Adelantar Validaciones Visuales:</w:t>
            </w:r>
            <w:r w:rsidDel="00000000" w:rsidR="00000000" w:rsidRPr="00000000">
              <w:rPr>
                <w:rFonts w:ascii="Arial" w:cs="Arial" w:eastAsia="Arial" w:hAnsi="Arial"/>
                <w:color w:val="365f91"/>
                <w:sz w:val="24"/>
                <w:szCs w:val="24"/>
                <w:rtl w:val="0"/>
              </w:rPr>
              <w:t xml:space="preserve"> Para tareas de UI (como gráficos), no esperar al día 3 o 4 para empezar. Intentar tener un boceto funcional el día 2 para que el PO valide si el gráfico se entiende.</w:t>
            </w:r>
          </w:p>
          <w:p w:rsidR="00000000" w:rsidDel="00000000" w:rsidP="00000000" w:rsidRDefault="00000000" w:rsidRPr="00000000" w14:paraId="0000003A">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Gestión de Casos Borde (Edge Cases):</w:t>
            </w:r>
            <w:r w:rsidDel="00000000" w:rsidR="00000000" w:rsidRPr="00000000">
              <w:rPr>
                <w:rFonts w:ascii="Arial" w:cs="Arial" w:eastAsia="Arial" w:hAnsi="Arial"/>
                <w:color w:val="365f91"/>
                <w:sz w:val="24"/>
                <w:szCs w:val="24"/>
                <w:rtl w:val="0"/>
              </w:rPr>
              <w:t xml:space="preserve"> La HU-23 falló en estimación. Para el futuro, cuando estimemos tareas de "qué mostrar cuando no hay datos" (pantallas vacías, on-boarding, estados default), no subestimarlas; suelen requerir diseño y lógica condicional extra.</w:t>
            </w:r>
          </w:p>
          <w:p w:rsidR="00000000" w:rsidDel="00000000" w:rsidP="00000000" w:rsidRDefault="00000000" w:rsidRPr="00000000" w14:paraId="0000003B">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Evitar Inicios en Día 5:</w:t>
            </w:r>
            <w:r w:rsidDel="00000000" w:rsidR="00000000" w:rsidRPr="00000000">
              <w:rPr>
                <w:rFonts w:ascii="Arial" w:cs="Arial" w:eastAsia="Arial" w:hAnsi="Arial"/>
                <w:color w:val="365f91"/>
                <w:sz w:val="24"/>
                <w:szCs w:val="24"/>
                <w:rtl w:val="0"/>
              </w:rPr>
              <w:t xml:space="preserve"> Establecer como política de equipo que el Día 5 es para </w:t>
            </w:r>
            <w:r w:rsidDel="00000000" w:rsidR="00000000" w:rsidRPr="00000000">
              <w:rPr>
                <w:rFonts w:ascii="Arial" w:cs="Arial" w:eastAsia="Arial" w:hAnsi="Arial"/>
                <w:i w:val="1"/>
                <w:iCs w:val="1"/>
                <w:color w:val="365f91"/>
                <w:sz w:val="24"/>
                <w:szCs w:val="24"/>
                <w:rtl w:val="0"/>
              </w:rPr>
              <w:t xml:space="preserve">cerrar, pulir y desplegar</w:t>
            </w:r>
            <w:r w:rsidDel="00000000" w:rsidR="00000000" w:rsidRPr="00000000">
              <w:rPr>
                <w:rFonts w:ascii="Arial" w:cs="Arial" w:eastAsia="Arial" w:hAnsi="Arial"/>
                <w:color w:val="365f91"/>
                <w:sz w:val="24"/>
                <w:szCs w:val="24"/>
                <w:rtl w:val="0"/>
              </w:rPr>
              <w:t xml:space="preserve">, no para </w:t>
            </w:r>
            <w:r w:rsidDel="00000000" w:rsidR="00000000" w:rsidRPr="00000000">
              <w:rPr>
                <w:rFonts w:ascii="Arial" w:cs="Arial" w:eastAsia="Arial" w:hAnsi="Arial"/>
                <w:i w:val="1"/>
                <w:iCs w:val="1"/>
                <w:color w:val="365f91"/>
                <w:sz w:val="24"/>
                <w:szCs w:val="24"/>
                <w:rtl w:val="0"/>
              </w:rPr>
              <w:t xml:space="preserve">empezar</w:t>
            </w:r>
            <w:r w:rsidDel="00000000" w:rsidR="00000000" w:rsidRPr="00000000">
              <w:rPr>
                <w:rFonts w:ascii="Arial" w:cs="Arial" w:eastAsia="Arial" w:hAnsi="Arial"/>
                <w:color w:val="365f91"/>
                <w:sz w:val="24"/>
                <w:szCs w:val="24"/>
                <w:rtl w:val="0"/>
              </w:rPr>
              <w:t xml:space="preserve"> tareas de desarrollo (como pasó con la T22-02), salvo emergencias.</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LiExWDs1eKEzZvU8+2MHcH1dAg==">CgMxLjAyDmguNTg2ZTQxbjJ2Y3hrOAByITFwRGt3NG8teXRUekJNeTk4ZGwyblF2N1pDM3d3Q3BvZA==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