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2B758AA3" w14:textId="7D7C420C" w:rsidR="00C2472A" w:rsidRDefault="009C6D6D">
      <w:pPr>
        <w:rPr>
          <w:rFonts w:ascii="Helvetica Neue" w:eastAsia="Helvetica Neue" w:hAnsi="Helvetica Neue" w:cs="Helvetica Neue"/>
        </w:rPr>
      </w:pPr>
      <w:r>
        <w:rPr>
          <w:noProof/>
          <w:sz w:val="20"/>
          <w:szCs w:val="20"/>
        </w:rPr>
        <w:drawing>
          <wp:anchor distT="0" distB="0" distL="114300" distR="114300" simplePos="0" relativeHeight="251668480" behindDoc="0" locked="0" layoutInCell="1" allowOverlap="1" wp14:anchorId="790F2F77" wp14:editId="5384845F">
            <wp:simplePos x="0" y="0"/>
            <wp:positionH relativeFrom="page">
              <wp:posOffset>46990</wp:posOffset>
            </wp:positionH>
            <wp:positionV relativeFrom="margin">
              <wp:posOffset>-639445</wp:posOffset>
            </wp:positionV>
            <wp:extent cx="981075" cy="295910"/>
            <wp:effectExtent l="0" t="0" r="0" b="8890"/>
            <wp:wrapSquare wrapText="bothSides"/>
            <wp:docPr id="51163683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2261982" name="Picture 60226198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981075" cy="295910"/>
                    </a:xfrm>
                    <a:prstGeom prst="rect">
                      <a:avLst/>
                    </a:prstGeom>
                  </pic:spPr>
                </pic:pic>
              </a:graphicData>
            </a:graphic>
            <wp14:sizeRelH relativeFrom="margin">
              <wp14:pctWidth>0</wp14:pctWidth>
            </wp14:sizeRelH>
            <wp14:sizeRelV relativeFrom="margin">
              <wp14:pctHeight>0</wp14:pctHeight>
            </wp14:sizeRelV>
          </wp:anchor>
        </w:drawing>
      </w:r>
      <w:r w:rsidR="00B63550">
        <w:rPr>
          <w:noProof/>
        </w:rPr>
        <w:drawing>
          <wp:anchor distT="0" distB="0" distL="114300" distR="114300" simplePos="0" relativeHeight="251669504" behindDoc="0" locked="0" layoutInCell="1" allowOverlap="1" wp14:anchorId="05099DFB" wp14:editId="18939068">
            <wp:simplePos x="0" y="0"/>
            <wp:positionH relativeFrom="margin">
              <wp:posOffset>-368300</wp:posOffset>
            </wp:positionH>
            <wp:positionV relativeFrom="topMargin">
              <wp:posOffset>4591685</wp:posOffset>
            </wp:positionV>
            <wp:extent cx="495300" cy="485775"/>
            <wp:effectExtent l="0" t="0" r="0" b="9525"/>
            <wp:wrapSquare wrapText="bothSides"/>
            <wp:docPr id="194139375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3751" name="Picture 1941393751"/>
                    <pic:cNvPicPr/>
                  </pic:nvPicPr>
                  <pic:blipFill>
                    <a:blip r:embed="rId12" cstate="print">
                      <a:biLevel thresh="25000"/>
                      <a:extLst>
                        <a:ext uri="{28A0092B-C50C-407E-A947-70E740481C1C}">
                          <a14:useLocalDpi xmlns:a14="http://schemas.microsoft.com/office/drawing/2010/main" val="0"/>
                        </a:ext>
                      </a:extLst>
                    </a:blip>
                    <a:stretch>
                      <a:fillRect/>
                    </a:stretch>
                  </pic:blipFill>
                  <pic:spPr>
                    <a:xfrm>
                      <a:off x="0" y="0"/>
                      <a:ext cx="495300" cy="485775"/>
                    </a:xfrm>
                    <a:prstGeom prst="rect">
                      <a:avLst/>
                    </a:prstGeom>
                  </pic:spPr>
                </pic:pic>
              </a:graphicData>
            </a:graphic>
            <wp14:sizeRelH relativeFrom="margin">
              <wp14:pctWidth>0</wp14:pctWidth>
            </wp14:sizeRelH>
            <wp14:sizeRelV relativeFrom="margin">
              <wp14:pctHeight>0</wp14:pctHeight>
            </wp14:sizeRelV>
          </wp:anchor>
        </w:drawing>
      </w:r>
      <w:r w:rsidR="008B727A">
        <w:rPr>
          <w:noProof/>
        </w:rPr>
        <mc:AlternateContent>
          <mc:Choice Requires="wps">
            <w:drawing>
              <wp:anchor distT="0" distB="0" distL="114300" distR="114300" simplePos="0" relativeHeight="251664384" behindDoc="0" locked="0" layoutInCell="1" hidden="0" allowOverlap="1" wp14:anchorId="7C17C78D" wp14:editId="32975052">
                <wp:simplePos x="0" y="0"/>
                <wp:positionH relativeFrom="column">
                  <wp:posOffset>5921375</wp:posOffset>
                </wp:positionH>
                <wp:positionV relativeFrom="paragraph">
                  <wp:posOffset>-596265</wp:posOffset>
                </wp:positionV>
                <wp:extent cx="1800225" cy="276225"/>
                <wp:effectExtent l="0" t="0" r="0" b="0"/>
                <wp:wrapNone/>
                <wp:docPr id="60" name="Rectangle 60"/>
                <wp:cNvGraphicFramePr/>
                <a:graphic xmlns:a="http://schemas.openxmlformats.org/drawingml/2006/main">
                  <a:graphicData uri="http://schemas.microsoft.com/office/word/2010/wordprocessingShape">
                    <wps:wsp>
                      <wps:cNvSpPr/>
                      <wps:spPr>
                        <a:xfrm>
                          <a:off x="0" y="0"/>
                          <a:ext cx="1800225" cy="276225"/>
                        </a:xfrm>
                        <a:prstGeom prst="rect">
                          <a:avLst/>
                        </a:prstGeom>
                        <a:noFill/>
                        <a:ln>
                          <a:noFill/>
                        </a:ln>
                      </wps:spPr>
                      <wps:txbx>
                        <w:txbxContent>
                          <w:p w14:paraId="51C8CD0D" w14:textId="77777777" w:rsidR="00C2472A" w:rsidRDefault="00AD5B53">
                            <w:pPr>
                              <w:spacing w:line="275" w:lineRule="auto"/>
                              <w:textDirection w:val="btLr"/>
                            </w:pPr>
                            <w:r>
                              <w:rPr>
                                <w:color w:val="002060"/>
                                <w:sz w:val="16"/>
                              </w:rPr>
                              <w:t>Private and Confidential</w:t>
                            </w:r>
                          </w:p>
                        </w:txbxContent>
                      </wps:txbx>
                      <wps:bodyPr spcFirstLastPara="1" wrap="square" lIns="91425" tIns="45700" rIns="91425" bIns="45700" anchor="t" anchorCtr="0">
                        <a:noAutofit/>
                      </wps:bodyPr>
                    </wps:wsp>
                  </a:graphicData>
                </a:graphic>
              </wp:anchor>
            </w:drawing>
          </mc:Choice>
          <mc:Fallback>
            <w:pict>
              <v:rect w14:anchorId="7C17C78D" id="Rectangle 60" o:spid="_x0000_s1026" style="position:absolute;margin-left:466.25pt;margin-top:-46.95pt;width:141.75pt;height:21.75pt;z-index:2516643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" filled="f" stroked="f">
                <v:textbox inset="2.53958mm,1.2694mm,2.53958mm,1.2694mm">
                  <w:txbxContent>
                    <w:p w14:paraId="51C8CD0D" w14:textId="77777777" w:rsidR="00C2472A" w:rsidRDefault="00AD5B53">
                      <w:pPr>
                        <w:spacing w:line="275" w:lineRule="auto"/>
                        <w:textDirection w:val="btLr"/>
                      </w:pPr>
                      <w:r>
                        <w:rPr>
                          <w:color w:val="002060"/>
                          <w:sz w:val="16"/>
                        </w:rPr>
                        <w:t>Private and Confidential</w:t>
                      </w:r>
                    </w:p>
                  </w:txbxContent>
                </v:textbox>
              </v:rect>
            </w:pict>
          </mc:Fallback>
        </mc:AlternateContent>
      </w:r>
      <w:r>
        <w:rPr>
          <w:noProof/>
        </w:rPr>
        <mc:AlternateContent>
          <mc:Choice Requires="wps">
            <w:drawing>
              <wp:anchor distT="0" distB="0" distL="114300" distR="114300" simplePos="0" relativeHeight="251658240" behindDoc="1" locked="0" layoutInCell="1" hidden="0" allowOverlap="1" wp14:anchorId="3FDFE549" wp14:editId="772D06DE">
                <wp:simplePos x="0" y="0"/>
                <wp:positionH relativeFrom="page">
                  <wp:posOffset>-390522</wp:posOffset>
                </wp:positionH>
                <wp:positionV relativeFrom="page">
                  <wp:posOffset>-61911</wp:posOffset>
                </wp:positionV>
                <wp:extent cx="8384792" cy="581025"/>
                <wp:effectExtent l="0" t="0" r="0" b="0"/>
                <wp:wrapNone/>
                <wp:docPr id="59" name="Rectangle 59"/>
                <wp:cNvGraphicFramePr/>
                <a:graphic xmlns:a="http://schemas.openxmlformats.org/drawingml/2006/main">
                  <a:graphicData uri="http://schemas.microsoft.com/office/word/2010/wordprocessingShape">
                    <wps:wsp>
                      <wps:cNvSpPr/>
                      <wps:spPr>
                        <a:xfrm>
                          <a:off x="1321688" y="3318038"/>
                          <a:ext cx="8048625" cy="923925"/>
                        </a:xfrm>
                        <a:prstGeom prst="rect">
                          <a:avLst/>
                        </a:prstGeom>
                        <a:gradFill>
                          <a:gsLst>
                            <a:gs pos="0">
                              <a:srgbClr val="97B4E4"/>
                            </a:gs>
                            <a:gs pos="50000">
                              <a:srgbClr val="BFCFEC"/>
                            </a:gs>
                            <a:gs pos="100000">
                              <a:srgbClr val="E0E8F4"/>
                            </a:gs>
                          </a:gsLst>
                          <a:lin ang="5400000" scaled="0"/>
                        </a:gradFill>
                        <a:ln w="9525" cap="flat" cmpd="sng">
                          <a:solidFill>
                            <a:srgbClr val="395E89"/>
                          </a:solidFill>
                          <a:prstDash val="solid"/>
                          <a:round/>
                          <a:headEnd type="none" w="sm" len="sm"/>
                          <a:tailEnd type="none" w="sm" len="sm"/>
                        </a:ln>
                      </wps:spPr>
                      <wps:txbx>
                        <w:txbxContent>
                          <w:p w14:paraId="645EDB55" w14:textId="77777777" w:rsidR="00C2472A" w:rsidRDefault="00C2472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3FDFE549" id="Rectangle 59" o:spid="_x0000_s1027" style="position:absolute;margin-left:-30.75pt;margin-top:-4.85pt;width:660.2pt;height:45.75pt;z-index:-251658240;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" fillcolor="#97b4e4" strokecolor="#395e89">
                <v:fill color2="#e0e8f4" colors="0 #97b4e4;.5 #bfcfec;1 #e0e8f4" focus="100%" type="gradient">
                  <o:fill v:ext="view" type="gradientUnscaled"/>
                </v:fill>
                <v:stroke startarrowwidth="narrow" startarrowlength="short" endarrowwidth="narrow" endarrowlength="short" joinstyle="round"/>
                <v:textbox inset="2.53958mm,2.53958mm,2.53958mm,2.53958mm">
                  <w:txbxContent>
                    <w:p w14:paraId="645EDB55" w14:textId="77777777" w:rsidR="00C2472A" w:rsidRDefault="00C2472A">
                      <w:pPr>
                        <w:spacing w:after="0" w:line="240" w:lineRule="auto"/>
                        <w:textDirection w:val="btLr"/>
                      </w:pPr>
                    </w:p>
                  </w:txbxContent>
                </v:textbox>
                <w10:wrap anchorx="page" anchory="page"/>
              </v:rect>
            </w:pict>
          </mc:Fallback>
        </mc:AlternateContent>
      </w:r>
      <w:r>
        <w:rPr>
          <w:noProof/>
        </w:rPr>
        <mc:AlternateContent>
          <mc:Choice Requires="wps">
            <w:drawing>
              <wp:anchor distT="0" distB="0" distL="114300" distR="114300" simplePos="0" relativeHeight="251659264" behindDoc="0" locked="0" layoutInCell="1" hidden="0" allowOverlap="1" wp14:anchorId="45F6285B" wp14:editId="0F7709B2">
                <wp:simplePos x="0" y="0"/>
                <wp:positionH relativeFrom="page">
                  <wp:posOffset>-85722</wp:posOffset>
                </wp:positionH>
                <wp:positionV relativeFrom="page">
                  <wp:posOffset>519113</wp:posOffset>
                </wp:positionV>
                <wp:extent cx="7772400" cy="438150"/>
                <wp:effectExtent l="0" t="0" r="0" b="0"/>
                <wp:wrapNone/>
                <wp:docPr id="62" name="Rectangle 62"/>
                <wp:cNvGraphicFramePr/>
                <a:graphic xmlns:a="http://schemas.openxmlformats.org/drawingml/2006/main">
                  <a:graphicData uri="http://schemas.microsoft.com/office/word/2010/wordprocessingShape">
                    <wps:wsp>
                      <wps:cNvSpPr/>
                      <wps:spPr>
                        <a:xfrm>
                          <a:off x="1469325" y="3589500"/>
                          <a:ext cx="7753350" cy="381000"/>
                        </a:xfrm>
                        <a:prstGeom prst="rect">
                          <a:avLst/>
                        </a:prstGeom>
                        <a:gradFill>
                          <a:gsLst>
                            <a:gs pos="0">
                              <a:srgbClr val="0C294C"/>
                            </a:gs>
                            <a:gs pos="50000">
                              <a:srgbClr val="133C6D"/>
                            </a:gs>
                            <a:gs pos="100000">
                              <a:srgbClr val="174884"/>
                            </a:gs>
                          </a:gsLst>
                          <a:lin ang="5400000" scaled="0"/>
                        </a:gradFill>
                        <a:ln>
                          <a:noFill/>
                        </a:ln>
                      </wps:spPr>
                      <wps:txbx>
                        <w:txbxContent>
                          <w:p w14:paraId="7FBA9DA5" w14:textId="77777777" w:rsidR="00C2472A" w:rsidRDefault="00C2472A">
                            <w:pPr>
                              <w:spacing w:after="300" w:line="240" w:lineRule="auto"/>
                              <w:textDirection w:val="btLr"/>
                            </w:pPr>
                          </w:p>
                          <w:p w14:paraId="353EB31C" w14:textId="77777777" w:rsidR="00C2472A" w:rsidRDefault="00AD5B53">
                            <w:pPr>
                              <w:spacing w:after="300" w:line="240" w:lineRule="auto"/>
                              <w:jc w:val="center"/>
                              <w:textDirection w:val="btLr"/>
                            </w:pPr>
                            <w:r>
                              <w:rPr>
                                <w:rFonts w:ascii="Cambria" w:eastAsia="Cambria" w:hAnsi="Cambria" w:cs="Cambria"/>
                                <w:color w:val="FFFFFF"/>
                                <w:sz w:val="36"/>
                              </w:rPr>
                              <w:t xml:space="preserve">Energy &amp; Infrastructure Working Paper Series </w:t>
                            </w:r>
                            <w:r>
                              <w:rPr>
                                <w:rFonts w:ascii="Cambria" w:eastAsia="Cambria" w:hAnsi="Cambria" w:cs="Cambria"/>
                                <w:color w:val="FFFFFF"/>
                                <w:sz w:val="28"/>
                              </w:rPr>
                              <w:t>Volume 002, Edition 1</w:t>
                            </w:r>
                          </w:p>
                          <w:p w14:paraId="416A0FDD" w14:textId="77777777" w:rsidR="00C2472A" w:rsidRDefault="00C2472A">
                            <w:pPr>
                              <w:spacing w:after="0" w:line="240" w:lineRule="auto"/>
                              <w:textDirection w:val="btLr"/>
                            </w:pPr>
                          </w:p>
                        </w:txbxContent>
                      </wps:txbx>
                      <wps:bodyPr spcFirstLastPara="1" wrap="square" lIns="182875" tIns="45700" rIns="182875" bIns="45700" anchor="ctr" anchorCtr="0">
                        <a:noAutofit/>
                      </wps:bodyPr>
                    </wps:wsp>
                  </a:graphicData>
                </a:graphic>
              </wp:anchor>
            </w:drawing>
          </mc:Choice>
          <mc:Fallback>
            <w:pict>
              <v:rect w14:anchorId="45F6285B" id="Rectangle 62" o:spid="_x0000_s1028" style="position:absolute;margin-left:-6.75pt;margin-top:40.9pt;width:612pt;height:34.5pt;z-index:251659264;visibility:visible;mso-wrap-style:square;mso-wrap-distance-left:9pt;mso-wrap-distance-top:0;mso-wrap-distance-right:9pt;mso-wrap-distance-bottom:0;mso-position-horizontal:absolute;mso-position-horizontal-relative:page;mso-position-vertical:absolute;mso-position-vertical-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" fillcolor="#0c294c" stroked="f">
                <v:fill color2="#174884" colors="0 #0c294c;.5 #133c6d;1 #174884" focus="100%" type="gradient">
                  <o:fill v:ext="view" type="gradientUnscaled"/>
                </v:fill>
                <v:textbox inset="5.07986mm,1.2694mm,5.07986mm,1.2694mm">
                  <w:txbxContent>
                    <w:p w14:paraId="7FBA9DA5" w14:textId="77777777" w:rsidR="00C2472A" w:rsidRDefault="00C2472A">
                      <w:pPr>
                        <w:spacing w:after="300" w:line="240" w:lineRule="auto"/>
                        <w:textDirection w:val="btLr"/>
                      </w:pPr>
                    </w:p>
                    <w:p w14:paraId="353EB31C" w14:textId="77777777" w:rsidR="00C2472A" w:rsidRDefault="00AD5B53">
                      <w:pPr>
                        <w:spacing w:after="300" w:line="240" w:lineRule="auto"/>
                        <w:jc w:val="center"/>
                        <w:textDirection w:val="btLr"/>
                      </w:pPr>
                      <w:r>
                        <w:rPr>
                          <w:rFonts w:ascii="Cambria" w:eastAsia="Cambria" w:hAnsi="Cambria" w:cs="Cambria"/>
                          <w:color w:val="FFFFFF"/>
                          <w:sz w:val="36"/>
                        </w:rPr>
                        <w:t xml:space="preserve">Energy &amp; Infrastructure Working Paper Series </w:t>
                      </w:r>
                      <w:r>
                        <w:rPr>
                          <w:rFonts w:ascii="Cambria" w:eastAsia="Cambria" w:hAnsi="Cambria" w:cs="Cambria"/>
                          <w:color w:val="FFFFFF"/>
                          <w:sz w:val="28"/>
                        </w:rPr>
                        <w:t>Volume 002, Edition 1</w:t>
                      </w:r>
                    </w:p>
                    <w:p w14:paraId="416A0FDD" w14:textId="77777777" w:rsidR="00C2472A" w:rsidRDefault="00C2472A">
                      <w:pPr>
                        <w:spacing w:after="0" w:line="240" w:lineRule="auto"/>
                        <w:textDirection w:val="btLr"/>
                      </w:pPr>
                    </w:p>
                  </w:txbxContent>
                </v:textbox>
                <w10:wrap anchorx="page" anchory="page"/>
              </v:rect>
            </w:pict>
          </mc:Fallback>
        </mc:AlternateContent>
      </w:r>
      <w:r>
        <w:rPr>
          <w:noProof/>
        </w:rPr>
        <w:drawing>
          <wp:anchor distT="0" distB="0" distL="114300" distR="114300" simplePos="0" relativeHeight="251660288" behindDoc="0" locked="0" layoutInCell="1" hidden="0" allowOverlap="1" wp14:anchorId="64BBB4F3" wp14:editId="26708762">
            <wp:simplePos x="0" y="0"/>
            <wp:positionH relativeFrom="margin">
              <wp:posOffset>-572768</wp:posOffset>
            </wp:positionH>
            <wp:positionV relativeFrom="margin">
              <wp:posOffset>-66673</wp:posOffset>
            </wp:positionV>
            <wp:extent cx="7708265" cy="5133975"/>
            <wp:effectExtent l="0" t="0" r="6985" b="9525"/>
            <wp:wrapSquare wrapText="bothSides" distT="0" distB="0" distL="114300" distR="114300"/>
            <wp:docPr id="67" name="image9.jpg" descr="Outdoor warehouse"/>
            <wp:cNvGraphicFramePr/>
            <a:graphic xmlns:a="http://schemas.openxmlformats.org/drawingml/2006/main">
              <a:graphicData uri="http://schemas.openxmlformats.org/drawingml/2006/picture">
                <pic:pic xmlns:pic="http://schemas.openxmlformats.org/drawingml/2006/picture">
                  <pic:nvPicPr>
                    <pic:cNvPr id="0" name="image9.jpg" descr="Outdoor warehouse"/>
                    <pic:cNvPicPr preferRelativeResize="0"/>
                  </pic:nvPicPr>
                  <pic:blipFill>
                    <a:blip r:embed="rId13"/>
                    <a:srcRect t="5630" b="5630"/>
                    <a:stretch>
                      <a:fillRect/>
                    </a:stretch>
                  </pic:blipFill>
                  <pic:spPr>
                    <a:xfrm>
                      <a:off x="0" y="0"/>
                      <a:ext cx="7708265" cy="5133975"/>
                    </a:xfrm>
                    <a:prstGeom prst="rect">
                      <a:avLst/>
                    </a:prstGeom>
                    <a:ln/>
                  </pic:spPr>
                </pic:pic>
              </a:graphicData>
            </a:graphic>
          </wp:anchor>
        </w:drawing>
      </w:r>
      <w:r>
        <w:rPr>
          <w:noProof/>
        </w:rPr>
        <mc:AlternateContent>
          <mc:Choice Requires="wps">
            <w:drawing>
              <wp:anchor distT="0" distB="0" distL="0" distR="0" simplePos="0" relativeHeight="251661312" behindDoc="1" locked="0" layoutInCell="1" hidden="0" allowOverlap="1" wp14:anchorId="43FA1112" wp14:editId="74C4C111">
                <wp:simplePos x="0" y="0"/>
                <wp:positionH relativeFrom="column">
                  <wp:posOffset>-469899</wp:posOffset>
                </wp:positionH>
                <wp:positionV relativeFrom="paragraph">
                  <wp:posOffset>5029200</wp:posOffset>
                </wp:positionV>
                <wp:extent cx="7600950" cy="5279762"/>
                <wp:effectExtent l="0" t="0" r="0" b="0"/>
                <wp:wrapNone/>
                <wp:docPr id="64" name="Rectangle 64"/>
                <wp:cNvGraphicFramePr/>
                <a:graphic xmlns:a="http://schemas.openxmlformats.org/drawingml/2006/main">
                  <a:graphicData uri="http://schemas.microsoft.com/office/word/2010/wordprocessingShape">
                    <wps:wsp>
                      <wps:cNvSpPr/>
                      <wps:spPr>
                        <a:xfrm>
                          <a:off x="1555050" y="1151100"/>
                          <a:ext cx="7581900" cy="5257800"/>
                        </a:xfrm>
                        <a:prstGeom prst="rect">
                          <a:avLst/>
                        </a:prstGeom>
                        <a:solidFill>
                          <a:srgbClr val="17365D"/>
                        </a:solidFill>
                        <a:ln>
                          <a:noFill/>
                        </a:ln>
                      </wps:spPr>
                      <wps:txbx>
                        <w:txbxContent>
                          <w:p w14:paraId="28D651D3" w14:textId="77777777" w:rsidR="00C2472A" w:rsidRDefault="00C2472A">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ect w14:anchorId="43FA1112" id="Rectangle 64" o:spid="_x0000_s1029" style="position:absolute;margin-left:-37pt;margin-top:396pt;width:598.5pt;height:415.7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" fillcolor="#17365d" stroked="f">
                <v:textbox inset="2.53958mm,2.53958mm,2.53958mm,2.53958mm">
                  <w:txbxContent>
                    <w:p w14:paraId="28D651D3" w14:textId="77777777" w:rsidR="00C2472A" w:rsidRDefault="00C2472A">
                      <w:pPr>
                        <w:spacing w:after="0" w:line="240" w:lineRule="auto"/>
                        <w:textDirection w:val="btLr"/>
                      </w:pPr>
                    </w:p>
                  </w:txbxContent>
                </v:textbox>
              </v:rect>
            </w:pict>
          </mc:Fallback>
        </mc:AlternateContent>
      </w:r>
      <w:r>
        <w:rPr>
          <w:noProof/>
        </w:rPr>
        <mc:AlternateContent>
          <mc:Choice Requires="wps">
            <w:drawing>
              <wp:anchor distT="0" distB="0" distL="114300" distR="114300" simplePos="0" relativeHeight="251662336" behindDoc="0" locked="0" layoutInCell="1" hidden="0" allowOverlap="1" wp14:anchorId="6A091FF2" wp14:editId="612C4D87">
                <wp:simplePos x="0" y="0"/>
                <wp:positionH relativeFrom="column">
                  <wp:posOffset>-469899</wp:posOffset>
                </wp:positionH>
                <wp:positionV relativeFrom="paragraph">
                  <wp:posOffset>4394200</wp:posOffset>
                </wp:positionV>
                <wp:extent cx="7558088" cy="1209675"/>
                <wp:effectExtent l="0" t="0" r="0" b="0"/>
                <wp:wrapNone/>
                <wp:docPr id="63" name="Rectangle 63"/>
                <wp:cNvGraphicFramePr/>
                <a:graphic xmlns:a="http://schemas.openxmlformats.org/drawingml/2006/main">
                  <a:graphicData uri="http://schemas.microsoft.com/office/word/2010/wordprocessingShape">
                    <wps:wsp>
                      <wps:cNvSpPr/>
                      <wps:spPr>
                        <a:xfrm>
                          <a:off x="1005600" y="3113700"/>
                          <a:ext cx="8680800" cy="1332600"/>
                        </a:xfrm>
                        <a:prstGeom prst="rect">
                          <a:avLst/>
                        </a:prstGeom>
                        <a:solidFill>
                          <a:srgbClr val="0C294C"/>
                        </a:solidFill>
                        <a:ln>
                          <a:noFill/>
                        </a:ln>
                      </wps:spPr>
                      <wps:txbx>
                        <w:txbxContent>
                          <w:p w14:paraId="4910B3A6" w14:textId="04F54481" w:rsidR="00C2472A" w:rsidRDefault="008B727A" w:rsidP="008B727A">
                            <w:pPr>
                              <w:spacing w:after="300" w:line="240" w:lineRule="auto"/>
                              <w:jc w:val="center"/>
                              <w:textDirection w:val="btLr"/>
                            </w:pPr>
                            <w:r w:rsidRPr="008B727A">
                              <w:rPr>
                                <w:rFonts w:ascii="Cambria" w:eastAsia="Cambria" w:hAnsi="Cambria" w:cs="Cambria"/>
                                <w:b/>
                                <w:color w:val="FFFFFF"/>
                                <w:sz w:val="46"/>
                              </w:rPr>
                              <w:t xml:space="preserve">Pareto-Nash Signalling </w:t>
                            </w:r>
                            <w:r w:rsidR="00805AC9">
                              <w:rPr>
                                <w:rFonts w:ascii="Cambria" w:eastAsia="Cambria" w:hAnsi="Cambria" w:cs="Cambria"/>
                                <w:b/>
                                <w:color w:val="FFFFFF"/>
                                <w:sz w:val="46"/>
                              </w:rPr>
                              <w:t>and</w:t>
                            </w:r>
                            <w:r w:rsidRPr="008B727A">
                              <w:rPr>
                                <w:rFonts w:ascii="Cambria" w:eastAsia="Cambria" w:hAnsi="Cambria" w:cs="Cambria"/>
                                <w:b/>
                                <w:color w:val="FFFFFF"/>
                                <w:sz w:val="46"/>
                              </w:rPr>
                              <w:t xml:space="preserve"> Nonlinear Peer Effects: </w:t>
                            </w:r>
                            <w:r w:rsidR="00805AC9">
                              <w:rPr>
                                <w:rFonts w:ascii="Cambria" w:eastAsia="Cambria" w:hAnsi="Cambria" w:cs="Cambria"/>
                                <w:b/>
                                <w:color w:val="FFFFFF"/>
                                <w:sz w:val="46"/>
                              </w:rPr>
                              <w:t>Critiquing</w:t>
                            </w:r>
                            <w:r w:rsidRPr="008B727A">
                              <w:rPr>
                                <w:rFonts w:ascii="Cambria" w:eastAsia="Cambria" w:hAnsi="Cambria" w:cs="Cambria"/>
                                <w:b/>
                                <w:color w:val="FFFFFF"/>
                                <w:sz w:val="46"/>
                              </w:rPr>
                              <w:t xml:space="preserve"> the Microeconomics of Inclusion</w:t>
                            </w:r>
                            <w:r w:rsidR="000802DF">
                              <w:rPr>
                                <w:rFonts w:ascii="Cambria" w:eastAsia="Cambria" w:hAnsi="Cambria" w:cs="Cambria"/>
                                <w:b/>
                                <w:color w:val="FFFFFF"/>
                                <w:sz w:val="46"/>
                              </w:rPr>
                              <w:t xml:space="preserve"> </w:t>
                            </w:r>
                            <w:r w:rsidR="0007262A">
                              <w:rPr>
                                <w:rFonts w:ascii="Cambria" w:eastAsia="Cambria" w:hAnsi="Cambria" w:cs="Cambria"/>
                                <w:i/>
                                <w:color w:val="D9D9D9"/>
                                <w:sz w:val="36"/>
                              </w:rPr>
                              <w:t>April</w:t>
                            </w:r>
                            <w:r>
                              <w:rPr>
                                <w:rFonts w:ascii="Cambria" w:eastAsia="Cambria" w:hAnsi="Cambria" w:cs="Cambria"/>
                                <w:i/>
                                <w:color w:val="D9D9D9"/>
                                <w:sz w:val="36"/>
                              </w:rPr>
                              <w:t xml:space="preserve"> 2026</w:t>
                            </w:r>
                          </w:p>
                        </w:txbxContent>
                      </wps:txbx>
                      <wps:bodyPr spcFirstLastPara="1" wrap="square" lIns="182875" tIns="45700" rIns="182875" bIns="45700" anchor="ctr" anchorCtr="0">
                        <a:noAutofit/>
                      </wps:bodyPr>
                    </wps:wsp>
                  </a:graphicData>
                </a:graphic>
                <wp14:sizeRelH relativeFrom="margin">
                  <wp14:pctWidth>0</wp14:pctWidth>
                </wp14:sizeRelH>
                <wp14:sizeRelV relativeFrom="margin">
                  <wp14:pctHeight>0</wp14:pctHeight>
                </wp14:sizeRelV>
              </wp:anchor>
            </w:drawing>
          </mc:Choice>
          <mc:Fallback>
            <w:pict>
              <v:rect w14:anchorId="6A091FF2" id="Rectangle 63" o:spid="_x0000_s1030" style="position:absolute;margin-left:-37pt;margin-top:346pt;width:595.15pt;height:9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" fillcolor="#0c294c" stroked="f">
                <v:textbox inset="5.07986mm,1.2694mm,5.07986mm,1.2694mm">
                  <w:txbxContent>
                    <w:p w14:paraId="4910B3A6" w14:textId="04F54481" w:rsidR="00C2472A" w:rsidRDefault="008B727A" w:rsidP="008B727A">
                      <w:pPr>
                        <w:spacing w:after="300" w:line="240" w:lineRule="auto"/>
                        <w:jc w:val="center"/>
                        <w:textDirection w:val="btLr"/>
                      </w:pPr>
                      <w:r w:rsidRPr="008B727A">
                        <w:rPr>
                          <w:rFonts w:ascii="Cambria" w:eastAsia="Cambria" w:hAnsi="Cambria" w:cs="Cambria"/>
                          <w:b/>
                          <w:color w:val="FFFFFF"/>
                          <w:sz w:val="46"/>
                        </w:rPr>
                        <w:t xml:space="preserve">Pareto-Nash Signalling </w:t>
                      </w:r>
                      <w:r w:rsidR="00805AC9">
                        <w:rPr>
                          <w:rFonts w:ascii="Cambria" w:eastAsia="Cambria" w:hAnsi="Cambria" w:cs="Cambria"/>
                          <w:b/>
                          <w:color w:val="FFFFFF"/>
                          <w:sz w:val="46"/>
                        </w:rPr>
                        <w:t>and</w:t>
                      </w:r>
                      <w:r w:rsidRPr="008B727A">
                        <w:rPr>
                          <w:rFonts w:ascii="Cambria" w:eastAsia="Cambria" w:hAnsi="Cambria" w:cs="Cambria"/>
                          <w:b/>
                          <w:color w:val="FFFFFF"/>
                          <w:sz w:val="46"/>
                        </w:rPr>
                        <w:t xml:space="preserve"> Nonlinear Peer Effects: </w:t>
                      </w:r>
                      <w:r w:rsidR="00805AC9">
                        <w:rPr>
                          <w:rFonts w:ascii="Cambria" w:eastAsia="Cambria" w:hAnsi="Cambria" w:cs="Cambria"/>
                          <w:b/>
                          <w:color w:val="FFFFFF"/>
                          <w:sz w:val="46"/>
                        </w:rPr>
                        <w:t>Critiquing</w:t>
                      </w:r>
                      <w:r w:rsidRPr="008B727A">
                        <w:rPr>
                          <w:rFonts w:ascii="Cambria" w:eastAsia="Cambria" w:hAnsi="Cambria" w:cs="Cambria"/>
                          <w:b/>
                          <w:color w:val="FFFFFF"/>
                          <w:sz w:val="46"/>
                        </w:rPr>
                        <w:t xml:space="preserve"> the Microeconomics of Inclusion</w:t>
                      </w:r>
                      <w:r w:rsidR="000802DF">
                        <w:rPr>
                          <w:rFonts w:ascii="Cambria" w:eastAsia="Cambria" w:hAnsi="Cambria" w:cs="Cambria"/>
                          <w:b/>
                          <w:color w:val="FFFFFF"/>
                          <w:sz w:val="46"/>
                        </w:rPr>
                        <w:t xml:space="preserve"> </w:t>
                      </w:r>
                      <w:r w:rsidR="0007262A">
                        <w:rPr>
                          <w:rFonts w:ascii="Cambria" w:eastAsia="Cambria" w:hAnsi="Cambria" w:cs="Cambria"/>
                          <w:i/>
                          <w:color w:val="D9D9D9"/>
                          <w:sz w:val="36"/>
                        </w:rPr>
                        <w:t>April</w:t>
                      </w:r>
                      <w:r>
                        <w:rPr>
                          <w:rFonts w:ascii="Cambria" w:eastAsia="Cambria" w:hAnsi="Cambria" w:cs="Cambria"/>
                          <w:i/>
                          <w:color w:val="D9D9D9"/>
                          <w:sz w:val="36"/>
                        </w:rPr>
                        <w:t xml:space="preserve"> 2026</w:t>
                      </w:r>
                    </w:p>
                  </w:txbxContent>
                </v:textbox>
              </v:rect>
            </w:pict>
          </mc:Fallback>
        </mc:AlternateContent>
      </w:r>
      <w:r>
        <w:rPr>
          <w:noProof/>
        </w:rPr>
        <mc:AlternateContent>
          <mc:Choice Requires="wps">
            <w:drawing>
              <wp:anchor distT="0" distB="0" distL="114300" distR="114300" simplePos="0" relativeHeight="251663360" behindDoc="0" locked="0" layoutInCell="1" hidden="0" allowOverlap="1" wp14:anchorId="66278917" wp14:editId="3A064295">
                <wp:simplePos x="0" y="0"/>
                <wp:positionH relativeFrom="column">
                  <wp:posOffset>-1193799</wp:posOffset>
                </wp:positionH>
                <wp:positionV relativeFrom="paragraph">
                  <wp:posOffset>38100</wp:posOffset>
                </wp:positionV>
                <wp:extent cx="9525" cy="25400"/>
                <wp:effectExtent l="0" t="0" r="0" b="0"/>
                <wp:wrapNone/>
                <wp:docPr id="61" name="Straight Arrow Connector 61"/>
                <wp:cNvGraphicFramePr/>
                <a:graphic xmlns:a="http://schemas.openxmlformats.org/drawingml/2006/main">
                  <a:graphicData uri="http://schemas.microsoft.com/office/word/2010/wordprocessingShape">
                    <wps:wsp>
                      <wps:cNvCnPr/>
                      <wps:spPr>
                        <a:xfrm rot="10800000" flipH="1">
                          <a:off x="1135950" y="3775238"/>
                          <a:ext cx="8420100" cy="9525"/>
                        </a:xfrm>
                        <a:prstGeom prst="straightConnector1">
                          <a:avLst/>
                        </a:prstGeom>
                        <a:noFill/>
                        <a:ln w="25400" cap="flat" cmpd="sng">
                          <a:solidFill>
                            <a:schemeClr val="accent1"/>
                          </a:solidFill>
                          <a:prstDash val="solid"/>
                          <a:round/>
                          <a:headEnd type="none" w="sm" len="sm"/>
                          <a:tailEnd type="none" w="sm" len="sm"/>
                        </a:ln>
                      </wps:spPr>
                      <wps:bodyPr/>
                    </wps:wsp>
                  </a:graphicData>
                </a:graphic>
              </wp:anchor>
            </w:drawing>
          </mc:Choice>
          <mc:Fallback>
            <w:pict>
              <v:shapetype w14:anchorId="1A00DA3E" id="_x0000_t32" coordsize="21600,21600" o:spt="32" o:oned="t" path="m,l21600,21600e" filled="f">
                <v:path arrowok="t" fillok="f" o:connecttype="none"/>
                <o:lock v:ext="edit" shapetype="t"/>
              </v:shapetype>
              <v:shape id="Straight Arrow Connector 61" o:spid="_x0000_s1026" type="#_x0000_t32" style="position:absolute;margin-left:-94pt;margin-top:3pt;width:.75pt;height:2pt;rotation:180;flip:x;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" strokecolor="#4f81bd [3204]" strokeweight="2pt">
                <v:stroke startarrowwidth="narrow" startarrowlength="short" endarrowwidth="narrow" endarrowlength="short"/>
              </v:shape>
            </w:pict>
          </mc:Fallback>
        </mc:AlternateContent>
      </w:r>
    </w:p>
    <w:p w14:paraId="575452B9" w14:textId="77777777" w:rsidR="00C2472A" w:rsidRDefault="00C2472A">
      <w:pPr>
        <w:spacing w:after="120"/>
        <w:rPr>
          <w:color w:val="FFFFFF"/>
          <w:sz w:val="32"/>
          <w:szCs w:val="32"/>
        </w:rPr>
      </w:pPr>
    </w:p>
    <w:p w14:paraId="286322BE" w14:textId="77777777" w:rsidR="000802DF" w:rsidRDefault="000802DF">
      <w:pPr>
        <w:spacing w:after="120"/>
        <w:rPr>
          <w:color w:val="FFFFFF"/>
          <w:sz w:val="32"/>
          <w:szCs w:val="32"/>
        </w:rPr>
      </w:pPr>
    </w:p>
    <w:p w14:paraId="58F6764C" w14:textId="65A215B7" w:rsidR="00C2472A" w:rsidRPr="009C6D6D" w:rsidRDefault="009C6D6D">
      <w:pPr>
        <w:spacing w:after="120"/>
        <w:rPr>
          <w:b/>
          <w:bCs/>
          <w:color w:val="FFFFFF" w:themeColor="background1"/>
          <w:sz w:val="32"/>
          <w:szCs w:val="32"/>
        </w:rPr>
      </w:pPr>
      <w:r>
        <w:rPr>
          <w:b/>
          <w:bCs/>
          <w:color w:val="FFFFFF" w:themeColor="background1"/>
          <w:sz w:val="32"/>
          <w:szCs w:val="32"/>
        </w:rPr>
        <w:t>MAYAKI</w:t>
      </w:r>
      <w:r w:rsidRPr="009C6D6D">
        <w:rPr>
          <w:b/>
          <w:bCs/>
          <w:color w:val="FFFFFF" w:themeColor="background1"/>
          <w:sz w:val="32"/>
          <w:szCs w:val="32"/>
        </w:rPr>
        <w:t>, Alfred A</w:t>
      </w:r>
      <w:r w:rsidR="0007262A" w:rsidRPr="009C6D6D">
        <w:rPr>
          <w:b/>
          <w:bCs/>
          <w:color w:val="FFFFFF" w:themeColor="background1"/>
          <w:sz w:val="32"/>
          <w:szCs w:val="32"/>
        </w:rPr>
        <w:t>nate</w:t>
      </w:r>
      <w:r w:rsidRPr="009C6D6D">
        <w:rPr>
          <w:b/>
          <w:bCs/>
          <w:color w:val="FFFFFF" w:themeColor="background1"/>
          <w:sz w:val="32"/>
          <w:szCs w:val="32"/>
        </w:rPr>
        <w:t xml:space="preserve"> B</w:t>
      </w:r>
      <w:r w:rsidR="0007262A" w:rsidRPr="009C6D6D">
        <w:rPr>
          <w:b/>
          <w:bCs/>
          <w:color w:val="FFFFFF" w:themeColor="background1"/>
          <w:sz w:val="32"/>
          <w:szCs w:val="32"/>
        </w:rPr>
        <w:t>odurin</w:t>
      </w:r>
    </w:p>
    <w:p w14:paraId="56937766" w14:textId="77777777" w:rsidR="00805AC9" w:rsidRDefault="00805AC9">
      <w:pPr>
        <w:spacing w:after="120"/>
        <w:rPr>
          <w:rFonts w:ascii="Helvetica Neue" w:eastAsia="Helvetica Neue" w:hAnsi="Helvetica Neue" w:cs="Helvetica Neue"/>
          <w:b/>
          <w:color w:val="FFFFFF"/>
          <w:sz w:val="20"/>
          <w:szCs w:val="20"/>
        </w:rPr>
      </w:pPr>
    </w:p>
    <w:p w14:paraId="02251B74" w14:textId="53FE1C60" w:rsidR="00C2472A" w:rsidRDefault="00AD5B53">
      <w:pPr>
        <w:spacing w:after="120"/>
        <w:rPr>
          <w:rFonts w:ascii="Helvetica Neue" w:eastAsia="Helvetica Neue" w:hAnsi="Helvetica Neue" w:cs="Helvetica Neue"/>
          <w:b/>
          <w:color w:val="FFFFFF"/>
          <w:sz w:val="20"/>
          <w:szCs w:val="20"/>
        </w:rPr>
      </w:pPr>
      <w:r>
        <w:rPr>
          <w:rFonts w:ascii="Helvetica Neue" w:eastAsia="Helvetica Neue" w:hAnsi="Helvetica Neue" w:cs="Helvetica Neue"/>
          <w:b/>
          <w:color w:val="FFFFFF"/>
          <w:sz w:val="20"/>
          <w:szCs w:val="20"/>
        </w:rPr>
        <w:t>Abstract</w:t>
      </w:r>
    </w:p>
    <w:p w14:paraId="2408012C" w14:textId="11FDA942" w:rsidR="00C2472A" w:rsidRPr="00B63550" w:rsidRDefault="000802DF">
      <w:pPr>
        <w:spacing w:after="0" w:line="360" w:lineRule="auto"/>
        <w:jc w:val="both"/>
        <w:rPr>
          <w:rFonts w:ascii="Arial" w:eastAsia="Helvetica Neue" w:hAnsi="Arial" w:cs="Arial"/>
          <w:color w:val="FFFFFF"/>
          <w:sz w:val="20"/>
          <w:szCs w:val="20"/>
        </w:rPr>
      </w:pPr>
      <w:r w:rsidRPr="00B63550">
        <w:rPr>
          <w:rFonts w:ascii="Arial" w:eastAsia="Helvetica Neue" w:hAnsi="Arial" w:cs="Arial"/>
          <w:color w:val="FFFFFF"/>
          <w:sz w:val="20"/>
          <w:szCs w:val="20"/>
        </w:rPr>
        <w:t xml:space="preserve">By assuming the view that signalling practices are organizational cues designed to communicate important strategic initiatives to workers, </w:t>
      </w:r>
      <w:r w:rsidR="006E1989">
        <w:rPr>
          <w:rFonts w:ascii="Arial" w:eastAsia="Helvetica Neue" w:hAnsi="Arial" w:cs="Arial"/>
          <w:color w:val="FFFFFF"/>
          <w:sz w:val="20"/>
          <w:szCs w:val="20"/>
        </w:rPr>
        <w:t>this paper</w:t>
      </w:r>
      <w:r w:rsidRPr="00B63550">
        <w:rPr>
          <w:rFonts w:ascii="Arial" w:eastAsia="Helvetica Neue" w:hAnsi="Arial" w:cs="Arial"/>
          <w:color w:val="FFFFFF"/>
          <w:sz w:val="20"/>
          <w:szCs w:val="20"/>
        </w:rPr>
        <w:t xml:space="preserve"> analyse</w:t>
      </w:r>
      <w:r w:rsidR="006E1989">
        <w:rPr>
          <w:rFonts w:ascii="Arial" w:eastAsia="Helvetica Neue" w:hAnsi="Arial" w:cs="Arial"/>
          <w:color w:val="FFFFFF"/>
          <w:sz w:val="20"/>
          <w:szCs w:val="20"/>
        </w:rPr>
        <w:t>s</w:t>
      </w:r>
      <w:r w:rsidRPr="00B63550">
        <w:rPr>
          <w:rFonts w:ascii="Arial" w:eastAsia="Helvetica Neue" w:hAnsi="Arial" w:cs="Arial"/>
          <w:color w:val="FFFFFF"/>
          <w:sz w:val="20"/>
          <w:szCs w:val="20"/>
        </w:rPr>
        <w:t xml:space="preserve"> microeconomic data using a two-staged least squared (2SLS) regression framework and an instrumental variable (IV) approach. The thesis presents a study into the stability of a Pareto-Nash equilibrium between firm outlay on wages under optimality conditions and a ‘many-to-one’ signal using data sampled on observed wages per productive worker.</w:t>
      </w:r>
    </w:p>
    <w:p w14:paraId="6221B3D9" w14:textId="77777777" w:rsidR="00C2472A" w:rsidRPr="00B63550" w:rsidRDefault="00C2472A">
      <w:pPr>
        <w:spacing w:after="0" w:line="240" w:lineRule="auto"/>
        <w:rPr>
          <w:rFonts w:ascii="Arial" w:eastAsia="Helvetica Neue" w:hAnsi="Arial" w:cs="Arial"/>
          <w:color w:val="FFFFFF"/>
          <w:sz w:val="20"/>
          <w:szCs w:val="20"/>
        </w:rPr>
      </w:pPr>
    </w:p>
    <w:p w14:paraId="41FD74E2" w14:textId="1A1E52F5" w:rsidR="00C2472A" w:rsidRPr="00B63550" w:rsidRDefault="00AD5B53">
      <w:pPr>
        <w:spacing w:after="0" w:line="240" w:lineRule="auto"/>
        <w:rPr>
          <w:rFonts w:ascii="Arial" w:eastAsia="Helvetica Neue" w:hAnsi="Arial" w:cs="Arial"/>
          <w:i/>
          <w:color w:val="FFFFFF"/>
          <w:sz w:val="20"/>
          <w:szCs w:val="20"/>
        </w:rPr>
      </w:pPr>
      <w:r w:rsidRPr="00B63550">
        <w:rPr>
          <w:rFonts w:ascii="Arial" w:eastAsia="Helvetica Neue" w:hAnsi="Arial" w:cs="Arial"/>
          <w:b/>
          <w:color w:val="FFFFFF"/>
          <w:sz w:val="20"/>
          <w:szCs w:val="20"/>
        </w:rPr>
        <w:t>Keywords</w:t>
      </w:r>
      <w:r w:rsidRPr="00B63550">
        <w:rPr>
          <w:rFonts w:ascii="Arial" w:eastAsia="Helvetica Neue" w:hAnsi="Arial" w:cs="Arial"/>
          <w:color w:val="FFFFFF"/>
          <w:sz w:val="20"/>
          <w:szCs w:val="20"/>
        </w:rPr>
        <w:t xml:space="preserve">: </w:t>
      </w:r>
      <w:r w:rsidR="006E09FE" w:rsidRPr="00B63550">
        <w:rPr>
          <w:rFonts w:ascii="Arial" w:eastAsia="Helvetica Neue" w:hAnsi="Arial" w:cs="Arial"/>
          <w:i/>
          <w:color w:val="FFFFFF"/>
          <w:sz w:val="20"/>
          <w:szCs w:val="20"/>
        </w:rPr>
        <w:t xml:space="preserve">Information design, signalling, </w:t>
      </w:r>
      <w:r w:rsidR="009C6D6D">
        <w:rPr>
          <w:rFonts w:ascii="Arial" w:eastAsia="Helvetica Neue" w:hAnsi="Arial" w:cs="Arial"/>
          <w:i/>
          <w:color w:val="FFFFFF"/>
          <w:sz w:val="20"/>
          <w:szCs w:val="20"/>
        </w:rPr>
        <w:t>inclusion,</w:t>
      </w:r>
      <w:r w:rsidR="006E09FE" w:rsidRPr="00B63550">
        <w:rPr>
          <w:rFonts w:ascii="Arial" w:eastAsia="Helvetica Neue" w:hAnsi="Arial" w:cs="Arial"/>
          <w:i/>
          <w:color w:val="FFFFFF"/>
          <w:sz w:val="20"/>
          <w:szCs w:val="20"/>
        </w:rPr>
        <w:t xml:space="preserve"> 2SLS, quantitative methods, econometrics, instrumental variable</w:t>
      </w:r>
      <w:r w:rsidR="009C6D6D">
        <w:rPr>
          <w:rFonts w:ascii="Arial" w:eastAsia="Helvetica Neue" w:hAnsi="Arial" w:cs="Arial"/>
          <w:i/>
          <w:color w:val="FFFFFF"/>
          <w:sz w:val="20"/>
          <w:szCs w:val="20"/>
        </w:rPr>
        <w:t>s</w:t>
      </w:r>
    </w:p>
    <w:p w14:paraId="181778AB" w14:textId="77777777" w:rsidR="006E09FE" w:rsidRPr="00B63550" w:rsidRDefault="006E09FE">
      <w:pPr>
        <w:spacing w:after="0" w:line="240" w:lineRule="auto"/>
        <w:rPr>
          <w:rFonts w:ascii="Arial" w:eastAsia="Helvetica Neue" w:hAnsi="Arial" w:cs="Arial"/>
          <w:i/>
          <w:color w:val="FFFFFF"/>
          <w:sz w:val="20"/>
          <w:szCs w:val="20"/>
        </w:rPr>
      </w:pPr>
    </w:p>
    <w:p w14:paraId="6E97FC0E" w14:textId="22C101DA" w:rsidR="006E09FE" w:rsidRPr="00B63550" w:rsidRDefault="006E09FE">
      <w:pPr>
        <w:spacing w:after="0" w:line="240" w:lineRule="auto"/>
        <w:rPr>
          <w:rFonts w:ascii="Arial" w:eastAsia="Helvetica Neue" w:hAnsi="Arial" w:cs="Arial"/>
          <w:iCs/>
          <w:color w:val="FFFFFF"/>
          <w:sz w:val="20"/>
          <w:szCs w:val="20"/>
        </w:rPr>
      </w:pPr>
      <w:r w:rsidRPr="00B63550">
        <w:rPr>
          <w:rFonts w:ascii="Arial" w:eastAsia="Helvetica Neue" w:hAnsi="Arial" w:cs="Arial"/>
          <w:b/>
          <w:color w:val="FFFFFF"/>
          <w:sz w:val="20"/>
          <w:szCs w:val="20"/>
        </w:rPr>
        <w:t>JEL</w:t>
      </w:r>
      <w:r w:rsidR="00E05E3B">
        <w:rPr>
          <w:rFonts w:ascii="Arial" w:eastAsia="Helvetica Neue" w:hAnsi="Arial" w:cs="Arial"/>
          <w:b/>
          <w:color w:val="FFFFFF"/>
          <w:sz w:val="20"/>
          <w:szCs w:val="20"/>
        </w:rPr>
        <w:t xml:space="preserve"> Classifications</w:t>
      </w:r>
      <w:r w:rsidRPr="00B63550">
        <w:rPr>
          <w:rFonts w:ascii="Arial" w:eastAsia="Helvetica Neue" w:hAnsi="Arial" w:cs="Arial"/>
          <w:color w:val="FFFFFF"/>
          <w:sz w:val="20"/>
          <w:szCs w:val="20"/>
        </w:rPr>
        <w:t>: J24, J71, D82, D83, D86, D90, M51, M54, I12, I14</w:t>
      </w:r>
    </w:p>
    <w:p w14:paraId="3379CEE7" w14:textId="77777777" w:rsidR="00C2472A" w:rsidRDefault="00C2472A">
      <w:pPr>
        <w:spacing w:after="0" w:line="240" w:lineRule="auto"/>
        <w:rPr>
          <w:rFonts w:ascii="Helvetica Neue" w:eastAsia="Helvetica Neue" w:hAnsi="Helvetica Neue" w:cs="Helvetica Neue"/>
          <w:i/>
          <w:color w:val="FFFFFF"/>
          <w:sz w:val="18"/>
          <w:szCs w:val="18"/>
        </w:rPr>
      </w:pPr>
    </w:p>
    <w:p w14:paraId="630354B9" w14:textId="77777777" w:rsidR="00C2472A" w:rsidRDefault="00C2472A">
      <w:pPr>
        <w:spacing w:after="0" w:line="240" w:lineRule="auto"/>
        <w:rPr>
          <w:rFonts w:ascii="Helvetica Neue" w:eastAsia="Helvetica Neue" w:hAnsi="Helvetica Neue" w:cs="Helvetica Neue"/>
          <w:i/>
          <w:sz w:val="18"/>
          <w:szCs w:val="18"/>
        </w:rPr>
      </w:pPr>
    </w:p>
    <w:p w14:paraId="31940B57" w14:textId="77777777" w:rsidR="000802DF" w:rsidRDefault="000802DF">
      <w:pPr>
        <w:spacing w:after="0" w:line="240" w:lineRule="auto"/>
        <w:rPr>
          <w:rFonts w:ascii="Helvetica Neue" w:eastAsia="Helvetica Neue" w:hAnsi="Helvetica Neue" w:cs="Helvetica Neue"/>
          <w:i/>
          <w:sz w:val="18"/>
          <w:szCs w:val="18"/>
        </w:rPr>
      </w:pPr>
    </w:p>
    <w:p w14:paraId="11D63120" w14:textId="77777777" w:rsidR="00C2472A" w:rsidRPr="00AC06F6" w:rsidRDefault="00AD5B53">
      <w:pPr>
        <w:pStyle w:val="Heading1"/>
        <w:rPr>
          <w:color w:val="0F243E" w:themeColor="text2" w:themeShade="80"/>
        </w:rPr>
      </w:pPr>
      <w:r w:rsidRPr="00AC06F6">
        <w:rPr>
          <w:color w:val="0F243E" w:themeColor="text2" w:themeShade="80"/>
        </w:rPr>
        <w:lastRenderedPageBreak/>
        <w:t>Acknowledgements</w:t>
      </w:r>
    </w:p>
    <w:p w14:paraId="61274C06" w14:textId="77777777" w:rsidR="00C2472A" w:rsidRDefault="00C2472A">
      <w:pPr>
        <w:spacing w:after="0" w:line="240" w:lineRule="auto"/>
        <w:rPr>
          <w:rFonts w:ascii="Libre Franklin" w:eastAsia="Libre Franklin" w:hAnsi="Libre Franklin" w:cs="Libre Franklin"/>
          <w:i/>
          <w:color w:val="0F243E"/>
          <w:sz w:val="18"/>
          <w:szCs w:val="18"/>
        </w:rPr>
      </w:pPr>
    </w:p>
    <w:p w14:paraId="3B9C733F" w14:textId="12D22D05" w:rsidR="00C2472A" w:rsidRDefault="00E65E59">
      <w:pPr>
        <w:spacing w:after="0" w:line="360" w:lineRule="auto"/>
        <w:rPr>
          <w:rFonts w:ascii="Libre Franklin" w:eastAsia="Libre Franklin" w:hAnsi="Libre Franklin" w:cs="Libre Franklin"/>
          <w:i/>
          <w:color w:val="17365D"/>
          <w:sz w:val="18"/>
          <w:szCs w:val="18"/>
        </w:rPr>
      </w:pPr>
      <w:r>
        <w:rPr>
          <w:rFonts w:ascii="Libre Franklin" w:eastAsia="Libre Franklin" w:hAnsi="Libre Franklin" w:cs="Libre Franklin"/>
          <w:i/>
          <w:color w:val="17365D"/>
          <w:sz w:val="18"/>
          <w:szCs w:val="18"/>
        </w:rPr>
        <w:t xml:space="preserve">I would like to show our appreciation to Alain Stockli, </w:t>
      </w:r>
    </w:p>
    <w:p w14:paraId="7BFE1565" w14:textId="77777777" w:rsidR="00C2472A" w:rsidRDefault="00AD5B53">
      <w:pPr>
        <w:spacing w:after="0" w:line="360" w:lineRule="auto"/>
        <w:rPr>
          <w:rFonts w:ascii="Libre Franklin" w:eastAsia="Libre Franklin" w:hAnsi="Libre Franklin" w:cs="Libre Franklin"/>
          <w:i/>
          <w:color w:val="17365D"/>
          <w:sz w:val="18"/>
          <w:szCs w:val="18"/>
        </w:rPr>
      </w:pPr>
      <w:r>
        <w:rPr>
          <w:rFonts w:ascii="Libre Franklin" w:eastAsia="Libre Franklin" w:hAnsi="Libre Franklin" w:cs="Libre Franklin"/>
          <w:i/>
          <w:color w:val="17365D"/>
          <w:sz w:val="18"/>
          <w:szCs w:val="18"/>
        </w:rPr>
        <w:t xml:space="preserve">Lucia Fuselli, Daniel Armanios, Rozeta Simonovska, </w:t>
      </w:r>
    </w:p>
    <w:p w14:paraId="5D87B7E7" w14:textId="77777777" w:rsidR="00C2472A" w:rsidRDefault="00AD5B53">
      <w:pPr>
        <w:spacing w:after="0" w:line="360" w:lineRule="auto"/>
        <w:rPr>
          <w:rFonts w:ascii="Libre Franklin" w:eastAsia="Libre Franklin" w:hAnsi="Libre Franklin" w:cs="Libre Franklin"/>
          <w:i/>
          <w:color w:val="17365D"/>
          <w:sz w:val="18"/>
          <w:szCs w:val="18"/>
        </w:rPr>
      </w:pPr>
      <w:r>
        <w:rPr>
          <w:rFonts w:ascii="Libre Franklin" w:eastAsia="Libre Franklin" w:hAnsi="Libre Franklin" w:cs="Libre Franklin"/>
          <w:i/>
          <w:color w:val="17365D"/>
          <w:sz w:val="18"/>
          <w:szCs w:val="18"/>
        </w:rPr>
        <w:t xml:space="preserve">Martina Macpherson, and Jeremy Groskopf for their </w:t>
      </w:r>
    </w:p>
    <w:p w14:paraId="3AA70EA2" w14:textId="77777777" w:rsidR="00C2472A" w:rsidRDefault="00AD5B53">
      <w:pPr>
        <w:spacing w:after="0" w:line="360" w:lineRule="auto"/>
        <w:rPr>
          <w:rFonts w:ascii="Libre Franklin" w:eastAsia="Libre Franklin" w:hAnsi="Libre Franklin" w:cs="Libre Franklin"/>
          <w:i/>
          <w:color w:val="17365D"/>
          <w:sz w:val="18"/>
          <w:szCs w:val="18"/>
        </w:rPr>
      </w:pPr>
      <w:r>
        <w:rPr>
          <w:rFonts w:ascii="Libre Franklin" w:eastAsia="Libre Franklin" w:hAnsi="Libre Franklin" w:cs="Libre Franklin"/>
          <w:i/>
          <w:color w:val="17365D"/>
          <w:sz w:val="18"/>
          <w:szCs w:val="18"/>
        </w:rPr>
        <w:t xml:space="preserve">insightful exchanges and immense influence on the </w:t>
      </w:r>
    </w:p>
    <w:p w14:paraId="35E91E0A" w14:textId="1E1D3D89" w:rsidR="00C2472A" w:rsidRDefault="00AD5B53">
      <w:pPr>
        <w:spacing w:after="0" w:line="360" w:lineRule="auto"/>
        <w:rPr>
          <w:rFonts w:ascii="Libre Franklin" w:eastAsia="Libre Franklin" w:hAnsi="Libre Franklin" w:cs="Libre Franklin"/>
          <w:i/>
          <w:color w:val="17365D"/>
          <w:sz w:val="14"/>
          <w:szCs w:val="14"/>
        </w:rPr>
      </w:pPr>
      <w:r>
        <w:rPr>
          <w:rFonts w:ascii="Libre Franklin" w:eastAsia="Libre Franklin" w:hAnsi="Libre Franklin" w:cs="Libre Franklin"/>
          <w:i/>
          <w:color w:val="17365D"/>
          <w:sz w:val="18"/>
          <w:szCs w:val="18"/>
        </w:rPr>
        <w:t>direction of this</w:t>
      </w:r>
      <w:r w:rsidR="008B727A">
        <w:rPr>
          <w:rFonts w:ascii="Libre Franklin" w:eastAsia="Libre Franklin" w:hAnsi="Libre Franklin" w:cs="Libre Franklin"/>
          <w:i/>
          <w:color w:val="17365D"/>
          <w:sz w:val="18"/>
          <w:szCs w:val="18"/>
        </w:rPr>
        <w:t xml:space="preserve"> </w:t>
      </w:r>
      <w:r w:rsidR="00BD6CA1">
        <w:rPr>
          <w:rFonts w:ascii="Libre Franklin" w:eastAsia="Libre Franklin" w:hAnsi="Libre Franklin" w:cs="Libre Franklin"/>
          <w:i/>
          <w:color w:val="17365D"/>
          <w:sz w:val="18"/>
          <w:szCs w:val="18"/>
        </w:rPr>
        <w:t xml:space="preserve">dissertation </w:t>
      </w:r>
      <w:r w:rsidR="008B727A">
        <w:rPr>
          <w:rFonts w:ascii="Libre Franklin" w:eastAsia="Libre Franklin" w:hAnsi="Libre Franklin" w:cs="Libre Franklin"/>
          <w:i/>
          <w:color w:val="17365D"/>
          <w:sz w:val="18"/>
          <w:szCs w:val="18"/>
        </w:rPr>
        <w:t>project</w:t>
      </w:r>
      <w:r>
        <w:rPr>
          <w:rFonts w:ascii="Libre Franklin" w:eastAsia="Libre Franklin" w:hAnsi="Libre Franklin" w:cs="Libre Franklin"/>
          <w:i/>
          <w:color w:val="17365D"/>
          <w:sz w:val="18"/>
          <w:szCs w:val="18"/>
        </w:rPr>
        <w:t>.</w:t>
      </w:r>
    </w:p>
    <w:p w14:paraId="4B324085" w14:textId="77777777" w:rsidR="00C2472A" w:rsidRDefault="00C2472A">
      <w:pPr>
        <w:rPr>
          <w:color w:val="0F243E"/>
        </w:rPr>
      </w:pPr>
    </w:p>
    <w:p w14:paraId="61E214D1" w14:textId="77777777" w:rsidR="00C2472A" w:rsidRDefault="00C2472A">
      <w:pPr>
        <w:rPr>
          <w:color w:val="0F243E"/>
        </w:rPr>
      </w:pPr>
    </w:p>
    <w:p w14:paraId="39458259" w14:textId="77777777" w:rsidR="00C2472A" w:rsidRDefault="00C2472A">
      <w:pPr>
        <w:rPr>
          <w:color w:val="FFFFFF"/>
        </w:rPr>
      </w:pPr>
    </w:p>
    <w:p w14:paraId="3AA663CE" w14:textId="77777777" w:rsidR="00C2472A" w:rsidRDefault="00C2472A"/>
    <w:p w14:paraId="1C4F96A7" w14:textId="79A30916" w:rsidR="00C2472A" w:rsidRDefault="00C2472A"/>
    <w:p w14:paraId="34533CB7" w14:textId="025CBF38" w:rsidR="00C2472A" w:rsidRDefault="00C2472A"/>
    <w:p w14:paraId="784D0D39" w14:textId="77777777" w:rsidR="00C2472A" w:rsidRDefault="00C2472A"/>
    <w:p w14:paraId="3F012E41" w14:textId="77777777" w:rsidR="00C2472A" w:rsidRDefault="00C2472A"/>
    <w:p w14:paraId="27E9D19E" w14:textId="77777777" w:rsidR="00E670C9" w:rsidRDefault="00E670C9"/>
    <w:p w14:paraId="4297F65C" w14:textId="293B2022" w:rsidR="00C2472A" w:rsidRDefault="00C2472A">
      <w:pPr>
        <w:rPr>
          <w:sz w:val="20"/>
          <w:szCs w:val="20"/>
        </w:rPr>
      </w:pPr>
    </w:p>
    <w:p w14:paraId="5545B326" w14:textId="04B08A1D" w:rsidR="000802DF" w:rsidRDefault="000802DF">
      <w:pPr>
        <w:rPr>
          <w:sz w:val="20"/>
          <w:szCs w:val="20"/>
        </w:rPr>
      </w:pPr>
    </w:p>
    <w:p w14:paraId="27843431" w14:textId="13F1EDB5" w:rsidR="000802DF" w:rsidRDefault="000802DF">
      <w:pPr>
        <w:rPr>
          <w:sz w:val="20"/>
          <w:szCs w:val="20"/>
        </w:rPr>
      </w:pPr>
    </w:p>
    <w:p w14:paraId="3360B674" w14:textId="77777777" w:rsidR="00B73057" w:rsidRDefault="00B73057">
      <w:pPr>
        <w:rPr>
          <w:sz w:val="20"/>
          <w:szCs w:val="20"/>
        </w:rPr>
      </w:pPr>
    </w:p>
    <w:p w14:paraId="00E68999" w14:textId="77777777" w:rsidR="00B73057" w:rsidRDefault="00B73057">
      <w:pPr>
        <w:rPr>
          <w:sz w:val="20"/>
          <w:szCs w:val="20"/>
        </w:rPr>
      </w:pPr>
    </w:p>
    <w:p w14:paraId="5CD852EC" w14:textId="04DD5614" w:rsidR="000802DF" w:rsidRDefault="000802DF">
      <w:pPr>
        <w:rPr>
          <w:sz w:val="20"/>
          <w:szCs w:val="20"/>
        </w:rPr>
      </w:pPr>
    </w:p>
    <w:p w14:paraId="0E04D79B" w14:textId="3A88CFDA" w:rsidR="00C2472A" w:rsidRDefault="00E670C9">
      <w:pPr>
        <w:rPr>
          <w:sz w:val="20"/>
          <w:szCs w:val="20"/>
        </w:rPr>
      </w:pPr>
      <w:r>
        <w:rPr>
          <w:noProof/>
        </w:rPr>
        <w:drawing>
          <wp:anchor distT="0" distB="0" distL="114300" distR="114300" simplePos="0" relativeHeight="251671552" behindDoc="0" locked="0" layoutInCell="1" allowOverlap="1" wp14:anchorId="590A7F18" wp14:editId="0627B056">
            <wp:simplePos x="0" y="0"/>
            <wp:positionH relativeFrom="margin">
              <wp:align>left</wp:align>
            </wp:positionH>
            <wp:positionV relativeFrom="topMargin">
              <wp:posOffset>6838315</wp:posOffset>
            </wp:positionV>
            <wp:extent cx="562610" cy="553085"/>
            <wp:effectExtent l="0" t="0" r="8890" b="0"/>
            <wp:wrapSquare wrapText="bothSides"/>
            <wp:docPr id="119061014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93751" name="Picture 1941393751"/>
                    <pic:cNvPicPr/>
                  </pic:nvPicPr>
                  <pic:blipFill>
                    <a:blip r:embed="rId14" cstate="print">
                      <a:biLevel thresh="75000"/>
                      <a:extLst>
                        <a:ext uri="{28A0092B-C50C-407E-A947-70E740481C1C}">
                          <a14:useLocalDpi xmlns:a14="http://schemas.microsoft.com/office/drawing/2010/main" val="0"/>
                        </a:ext>
                      </a:extLst>
                    </a:blip>
                    <a:stretch>
                      <a:fillRect/>
                    </a:stretch>
                  </pic:blipFill>
                  <pic:spPr>
                    <a:xfrm>
                      <a:off x="0" y="0"/>
                      <a:ext cx="562610" cy="553085"/>
                    </a:xfrm>
                    <a:prstGeom prst="rect">
                      <a:avLst/>
                    </a:prstGeom>
                  </pic:spPr>
                </pic:pic>
              </a:graphicData>
            </a:graphic>
            <wp14:sizeRelH relativeFrom="margin">
              <wp14:pctWidth>0</wp14:pctWidth>
            </wp14:sizeRelH>
            <wp14:sizeRelV relativeFrom="margin">
              <wp14:pctHeight>0</wp14:pctHeight>
            </wp14:sizeRelV>
          </wp:anchor>
        </w:drawing>
      </w:r>
    </w:p>
    <w:p w14:paraId="6AD00EA0" w14:textId="0C1CE923" w:rsidR="00C2472A" w:rsidRDefault="00C2472A">
      <w:pPr>
        <w:rPr>
          <w:sz w:val="20"/>
          <w:szCs w:val="20"/>
        </w:rPr>
      </w:pPr>
    </w:p>
    <w:p w14:paraId="7B70F917" w14:textId="77777777" w:rsidR="00E670C9" w:rsidRDefault="00E670C9">
      <w:pPr>
        <w:spacing w:after="0"/>
        <w:rPr>
          <w:color w:val="17365D"/>
          <w:sz w:val="18"/>
          <w:szCs w:val="18"/>
        </w:rPr>
      </w:pPr>
    </w:p>
    <w:p w14:paraId="4ACE0E9B" w14:textId="2325C7DC" w:rsidR="00C2472A" w:rsidRDefault="00AD5B53">
      <w:pPr>
        <w:spacing w:after="0"/>
        <w:rPr>
          <w:color w:val="17365D"/>
          <w:sz w:val="18"/>
          <w:szCs w:val="18"/>
        </w:rPr>
      </w:pPr>
      <w:r>
        <w:rPr>
          <w:color w:val="17365D"/>
          <w:sz w:val="18"/>
          <w:szCs w:val="18"/>
        </w:rPr>
        <w:t>202</w:t>
      </w:r>
      <w:r w:rsidR="0007262A">
        <w:rPr>
          <w:color w:val="17365D"/>
          <w:sz w:val="18"/>
          <w:szCs w:val="18"/>
        </w:rPr>
        <w:t>6</w:t>
      </w:r>
      <w:r>
        <w:rPr>
          <w:color w:val="17365D"/>
          <w:sz w:val="18"/>
          <w:szCs w:val="18"/>
        </w:rPr>
        <w:t xml:space="preserve"> © </w:t>
      </w:r>
      <w:r w:rsidR="0007262A">
        <w:rPr>
          <w:color w:val="17365D"/>
          <w:sz w:val="18"/>
          <w:szCs w:val="18"/>
        </w:rPr>
        <w:t>Alfred Anate Bodurin Mayaki</w:t>
      </w:r>
    </w:p>
    <w:p w14:paraId="5E131B29" w14:textId="71079CAF" w:rsidR="00C2472A" w:rsidRDefault="00AD5B53">
      <w:pPr>
        <w:spacing w:after="0"/>
        <w:rPr>
          <w:color w:val="17365D"/>
          <w:sz w:val="18"/>
          <w:szCs w:val="18"/>
        </w:rPr>
      </w:pPr>
      <w:r>
        <w:rPr>
          <w:color w:val="17365D"/>
          <w:sz w:val="18"/>
          <w:szCs w:val="18"/>
        </w:rPr>
        <w:t>All Rights Reserved</w:t>
      </w:r>
    </w:p>
    <w:p w14:paraId="1E05DF58" w14:textId="77F4B556" w:rsidR="00C2472A" w:rsidRDefault="00C2472A">
      <w:pPr>
        <w:spacing w:after="0"/>
        <w:rPr>
          <w:color w:val="17365D"/>
          <w:sz w:val="18"/>
          <w:szCs w:val="18"/>
        </w:rPr>
      </w:pPr>
    </w:p>
    <w:p w14:paraId="6255F893" w14:textId="52C228B8" w:rsidR="00C2472A" w:rsidRDefault="00AD5B53">
      <w:pPr>
        <w:spacing w:after="0"/>
        <w:rPr>
          <w:color w:val="17365D"/>
          <w:sz w:val="18"/>
          <w:szCs w:val="18"/>
        </w:rPr>
      </w:pPr>
      <w:r>
        <w:rPr>
          <w:color w:val="17365D"/>
          <w:sz w:val="18"/>
          <w:szCs w:val="18"/>
        </w:rPr>
        <w:t>No part of this report may be reproduced or</w:t>
      </w:r>
    </w:p>
    <w:p w14:paraId="172E15CB" w14:textId="7C413168" w:rsidR="00C2472A" w:rsidRDefault="00AD5B53">
      <w:pPr>
        <w:spacing w:after="0"/>
        <w:rPr>
          <w:color w:val="17365D"/>
          <w:sz w:val="18"/>
          <w:szCs w:val="18"/>
        </w:rPr>
      </w:pPr>
      <w:r>
        <w:rPr>
          <w:color w:val="17365D"/>
          <w:sz w:val="18"/>
          <w:szCs w:val="18"/>
        </w:rPr>
        <w:t>Transmitted in any form by any means, electronic</w:t>
      </w:r>
    </w:p>
    <w:p w14:paraId="5E06BFEC" w14:textId="77777777" w:rsidR="00C2472A" w:rsidRDefault="00AD5B53">
      <w:pPr>
        <w:spacing w:after="0"/>
        <w:rPr>
          <w:color w:val="17365D"/>
          <w:sz w:val="18"/>
          <w:szCs w:val="18"/>
        </w:rPr>
      </w:pPr>
      <w:r>
        <w:rPr>
          <w:color w:val="17365D"/>
          <w:sz w:val="18"/>
          <w:szCs w:val="18"/>
        </w:rPr>
        <w:t>Or mechanical, including photocopy, or any information</w:t>
      </w:r>
    </w:p>
    <w:p w14:paraId="43FD9CE5" w14:textId="77777777" w:rsidR="00C2472A" w:rsidRDefault="00AD5B53">
      <w:pPr>
        <w:spacing w:after="0"/>
        <w:rPr>
          <w:color w:val="17365D"/>
          <w:sz w:val="18"/>
          <w:szCs w:val="18"/>
        </w:rPr>
      </w:pPr>
      <w:r>
        <w:rPr>
          <w:color w:val="17365D"/>
          <w:sz w:val="18"/>
          <w:szCs w:val="18"/>
        </w:rPr>
        <w:t>storage and retrieval system, without expressed permission</w:t>
      </w:r>
    </w:p>
    <w:p w14:paraId="7378E710" w14:textId="77777777" w:rsidR="00C2472A" w:rsidRDefault="00AD5B53">
      <w:pPr>
        <w:spacing w:after="0"/>
        <w:rPr>
          <w:color w:val="17365D"/>
          <w:sz w:val="18"/>
          <w:szCs w:val="18"/>
        </w:rPr>
      </w:pPr>
      <w:r>
        <w:rPr>
          <w:color w:val="17365D"/>
          <w:sz w:val="18"/>
          <w:szCs w:val="18"/>
        </w:rPr>
        <w:t>from the author or the institution.</w:t>
      </w:r>
    </w:p>
    <w:p w14:paraId="004543E8" w14:textId="46E2EB6E" w:rsidR="00C2472A" w:rsidRDefault="00E670C9">
      <w:pPr>
        <w:spacing w:after="0"/>
        <w:rPr>
          <w:color w:val="17365D"/>
          <w:sz w:val="18"/>
          <w:szCs w:val="18"/>
          <w:u w:val="single"/>
        </w:rPr>
      </w:pPr>
      <w:hyperlink r:id="rId15" w:history="1">
        <w:r w:rsidRPr="00AD3AC3">
          <w:rPr>
            <w:rStyle w:val="Hyperlink"/>
            <w:sz w:val="18"/>
            <w:szCs w:val="18"/>
          </w:rPr>
          <w:t>alfred.mayaki@ou.ac.uk</w:t>
        </w:r>
      </w:hyperlink>
    </w:p>
    <w:p w14:paraId="0D0DF7DD" w14:textId="77777777" w:rsidR="00E670C9" w:rsidRDefault="00E670C9">
      <w:pPr>
        <w:spacing w:after="0"/>
        <w:rPr>
          <w:color w:val="17365D"/>
          <w:sz w:val="18"/>
          <w:szCs w:val="18"/>
          <w:u w:val="single"/>
        </w:rPr>
      </w:pPr>
    </w:p>
    <w:p w14:paraId="5BB9731A" w14:textId="130ED59A" w:rsidR="00E670C9" w:rsidRDefault="00E670C9" w:rsidP="00E670C9">
      <w:pPr>
        <w:pBdr>
          <w:top w:val="none" w:sz="0" w:space="0" w:color="000000"/>
          <w:left w:val="none" w:sz="0" w:space="0" w:color="000000"/>
          <w:right w:val="none" w:sz="0" w:space="0" w:color="000000"/>
        </w:pBdr>
        <w:spacing w:after="0" w:line="312" w:lineRule="auto"/>
        <w:jc w:val="both"/>
        <w:rPr>
          <w:rFonts w:ascii="Helvetica Neue" w:eastAsia="Helvetica Neue" w:hAnsi="Helvetica Neue" w:cs="Helvetica Neue"/>
          <w:color w:val="0F243E"/>
          <w:sz w:val="18"/>
          <w:szCs w:val="18"/>
        </w:rPr>
      </w:pPr>
      <w:r>
        <w:rPr>
          <w:rFonts w:ascii="Helvetica Neue" w:eastAsia="Helvetica Neue" w:hAnsi="Helvetica Neue" w:cs="Helvetica Neue"/>
          <w:color w:val="0F243E"/>
          <w:sz w:val="18"/>
          <w:szCs w:val="18"/>
        </w:rPr>
        <w:t xml:space="preserve">The Impact in Business Recruitment Blog is a multi-award-winning sustainable infrastructure, and renewable energy executive search consultancy. We are very passionate about the role of candidate experience in the processes we manage on behalf of our global client base. Since being founded, </w:t>
      </w:r>
      <w:r w:rsidR="0077132E">
        <w:rPr>
          <w:rFonts w:ascii="Helvetica Neue" w:eastAsia="Helvetica Neue" w:hAnsi="Helvetica Neue" w:cs="Helvetica Neue"/>
          <w:color w:val="0F243E"/>
          <w:sz w:val="18"/>
          <w:szCs w:val="18"/>
        </w:rPr>
        <w:t>the blog</w:t>
      </w:r>
      <w:r>
        <w:rPr>
          <w:rFonts w:ascii="Helvetica Neue" w:eastAsia="Helvetica Neue" w:hAnsi="Helvetica Neue" w:cs="Helvetica Neue"/>
          <w:color w:val="0F243E"/>
          <w:sz w:val="18"/>
          <w:szCs w:val="18"/>
        </w:rPr>
        <w:t xml:space="preserve"> has grown to become a leading player in the energy and infrastructure markets and the ESG industry sectors that are our core focus. For </w:t>
      </w:r>
      <w:r w:rsidR="00B73057">
        <w:rPr>
          <w:rFonts w:ascii="Helvetica Neue" w:eastAsia="Helvetica Neue" w:hAnsi="Helvetica Neue" w:cs="Helvetica Neue"/>
          <w:color w:val="0F243E"/>
          <w:sz w:val="18"/>
          <w:szCs w:val="18"/>
        </w:rPr>
        <w:t>further</w:t>
      </w:r>
      <w:r>
        <w:rPr>
          <w:rFonts w:ascii="Helvetica Neue" w:eastAsia="Helvetica Neue" w:hAnsi="Helvetica Neue" w:cs="Helvetica Neue"/>
          <w:color w:val="0F243E"/>
          <w:sz w:val="18"/>
          <w:szCs w:val="18"/>
        </w:rPr>
        <w:t xml:space="preserve"> information, visit </w:t>
      </w:r>
      <w:hyperlink r:id="rId16" w:history="1">
        <w:r w:rsidRPr="00AD3AC3">
          <w:rPr>
            <w:rStyle w:val="Hyperlink"/>
            <w:rFonts w:ascii="Helvetica Neue" w:eastAsia="Helvetica Neue" w:hAnsi="Helvetica Neue" w:cs="Helvetica Neue"/>
            <w:sz w:val="18"/>
            <w:szCs w:val="18"/>
          </w:rPr>
          <w:t>www.ibrecruitment.com</w:t>
        </w:r>
      </w:hyperlink>
      <w:r>
        <w:rPr>
          <w:rFonts w:ascii="Helvetica Neue" w:eastAsia="Helvetica Neue" w:hAnsi="Helvetica Neue" w:cs="Helvetica Neue"/>
          <w:color w:val="0F243E"/>
          <w:sz w:val="18"/>
          <w:szCs w:val="18"/>
        </w:rPr>
        <w:t>.</w:t>
      </w:r>
    </w:p>
    <w:p w14:paraId="0612E278" w14:textId="77777777" w:rsidR="00E670C9" w:rsidRDefault="00E670C9">
      <w:pPr>
        <w:spacing w:after="0"/>
        <w:rPr>
          <w:color w:val="17365D"/>
          <w:sz w:val="18"/>
          <w:szCs w:val="18"/>
          <w:u w:val="single"/>
        </w:rPr>
      </w:pPr>
    </w:p>
    <w:p w14:paraId="61932F5B" w14:textId="77777777" w:rsidR="00C2472A" w:rsidRPr="00BD6CA1" w:rsidRDefault="00AD5B53">
      <w:pPr>
        <w:pStyle w:val="Heading1"/>
        <w:spacing w:after="120"/>
        <w:rPr>
          <w:color w:val="0F243E" w:themeColor="text2" w:themeShade="80"/>
        </w:rPr>
      </w:pPr>
      <w:r w:rsidRPr="00BD6CA1">
        <w:rPr>
          <w:color w:val="0F243E" w:themeColor="text2" w:themeShade="80"/>
        </w:rPr>
        <w:lastRenderedPageBreak/>
        <w:t>Foreword</w:t>
      </w:r>
    </w:p>
    <w:p w14:paraId="668C9A16" w14:textId="71BCA670" w:rsidR="00C2472A" w:rsidRDefault="00AD5B53">
      <w:pPr>
        <w:pBdr>
          <w:top w:val="nil"/>
          <w:left w:val="nil"/>
          <w:bottom w:val="nil"/>
          <w:right w:val="nil"/>
          <w:between w:val="nil"/>
        </w:pBdr>
        <w:spacing w:after="0"/>
        <w:ind w:right="57"/>
        <w:jc w:val="both"/>
        <w:rPr>
          <w:rFonts w:ascii="Libre Franklin" w:eastAsia="Libre Franklin" w:hAnsi="Libre Franklin" w:cs="Libre Franklin"/>
          <w:color w:val="0F243E"/>
          <w:sz w:val="18"/>
          <w:szCs w:val="18"/>
        </w:rPr>
      </w:pPr>
      <w:r>
        <w:rPr>
          <w:rFonts w:ascii="Libre Franklin" w:eastAsia="Libre Franklin" w:hAnsi="Libre Franklin" w:cs="Libre Franklin"/>
          <w:color w:val="0F243E"/>
          <w:sz w:val="18"/>
          <w:szCs w:val="18"/>
        </w:rPr>
        <w:t xml:space="preserve">This is the first in a series of technical reporting papers published by </w:t>
      </w:r>
      <w:r w:rsidR="008E2CB9">
        <w:rPr>
          <w:rFonts w:ascii="Libre Franklin" w:eastAsia="Libre Franklin" w:hAnsi="Libre Franklin" w:cs="Libre Franklin"/>
          <w:color w:val="0F243E"/>
          <w:sz w:val="18"/>
          <w:szCs w:val="18"/>
        </w:rPr>
        <w:t>Impact in Business Recruitment</w:t>
      </w:r>
      <w:r>
        <w:rPr>
          <w:rFonts w:ascii="Libre Franklin" w:eastAsia="Libre Franklin" w:hAnsi="Libre Franklin" w:cs="Libre Franklin"/>
          <w:color w:val="0F243E"/>
          <w:sz w:val="18"/>
          <w:szCs w:val="18"/>
        </w:rPr>
        <w:t xml:space="preserve"> on the theme of energy and infrastructure. Beginning in June 2023, the company will be making a series of literature reviews, theoretical studies and empirical research available to the general public.</w:t>
      </w:r>
    </w:p>
    <w:p w14:paraId="3B002AA4" w14:textId="77777777" w:rsidR="00C2472A" w:rsidRDefault="00C2472A">
      <w:pPr>
        <w:pBdr>
          <w:top w:val="nil"/>
          <w:left w:val="nil"/>
          <w:bottom w:val="nil"/>
          <w:right w:val="nil"/>
          <w:between w:val="nil"/>
        </w:pBdr>
        <w:spacing w:after="0"/>
        <w:ind w:right="57"/>
        <w:jc w:val="both"/>
        <w:rPr>
          <w:rFonts w:ascii="Libre Franklin" w:eastAsia="Libre Franklin" w:hAnsi="Libre Franklin" w:cs="Libre Franklin"/>
          <w:color w:val="0F243E"/>
          <w:sz w:val="18"/>
          <w:szCs w:val="18"/>
        </w:rPr>
      </w:pPr>
    </w:p>
    <w:p w14:paraId="10709798" w14:textId="63E70BA9" w:rsidR="00C2472A" w:rsidRDefault="00AD5B53">
      <w:pPr>
        <w:pBdr>
          <w:top w:val="nil"/>
          <w:left w:val="nil"/>
          <w:bottom w:val="nil"/>
          <w:right w:val="nil"/>
          <w:between w:val="nil"/>
        </w:pBdr>
        <w:spacing w:after="0"/>
        <w:ind w:right="57"/>
        <w:jc w:val="both"/>
        <w:rPr>
          <w:rFonts w:ascii="Libre Franklin" w:eastAsia="Libre Franklin" w:hAnsi="Libre Franklin" w:cs="Libre Franklin"/>
          <w:color w:val="0F243E"/>
          <w:sz w:val="18"/>
          <w:szCs w:val="18"/>
        </w:rPr>
      </w:pPr>
      <w:r>
        <w:rPr>
          <w:rFonts w:ascii="Libre Franklin" w:eastAsia="Libre Franklin" w:hAnsi="Libre Franklin" w:cs="Libre Franklin"/>
          <w:color w:val="0F243E"/>
          <w:sz w:val="18"/>
          <w:szCs w:val="18"/>
        </w:rPr>
        <w:t xml:space="preserve">As the problems we are attempting to resolve will all be sustainability critical concerns, </w:t>
      </w:r>
      <w:r w:rsidR="008E2CB9">
        <w:rPr>
          <w:rFonts w:ascii="Libre Franklin" w:eastAsia="Libre Franklin" w:hAnsi="Libre Franklin" w:cs="Libre Franklin"/>
          <w:color w:val="0F243E"/>
          <w:sz w:val="18"/>
          <w:szCs w:val="18"/>
        </w:rPr>
        <w:t>Impact in Business Recruitment</w:t>
      </w:r>
      <w:r>
        <w:rPr>
          <w:rFonts w:ascii="Libre Franklin" w:eastAsia="Libre Franklin" w:hAnsi="Libre Franklin" w:cs="Libre Franklin"/>
          <w:color w:val="0F243E"/>
          <w:sz w:val="18"/>
          <w:szCs w:val="18"/>
        </w:rPr>
        <w:t xml:space="preserve"> will be leading with mission critical resolutions and recommendations. The value of the studies we will be embarking on from June 2023 will be applicable to higher educational academia and sector-specific practice industries. We welcome you along our journey of enlightenment and discovery and thank everyone who has contributed to the continued discussion both virtually and in person.</w:t>
      </w:r>
    </w:p>
    <w:p w14:paraId="4A7456AB" w14:textId="77777777" w:rsidR="00C2472A" w:rsidRDefault="00C2472A">
      <w:pPr>
        <w:pBdr>
          <w:top w:val="nil"/>
          <w:left w:val="nil"/>
          <w:bottom w:val="nil"/>
          <w:right w:val="nil"/>
          <w:between w:val="nil"/>
        </w:pBdr>
        <w:spacing w:after="0"/>
        <w:ind w:right="57"/>
        <w:jc w:val="both"/>
        <w:rPr>
          <w:rFonts w:ascii="Libre Franklin" w:eastAsia="Libre Franklin" w:hAnsi="Libre Franklin" w:cs="Libre Franklin"/>
          <w:color w:val="0F243E"/>
          <w:sz w:val="18"/>
          <w:szCs w:val="18"/>
        </w:rPr>
      </w:pPr>
    </w:p>
    <w:p w14:paraId="6C2DBDA7" w14:textId="77777777" w:rsidR="00C2472A" w:rsidRDefault="00AD5B53">
      <w:pPr>
        <w:jc w:val="right"/>
        <w:rPr>
          <w:rFonts w:ascii="Helvetica Neue" w:eastAsia="Helvetica Neue" w:hAnsi="Helvetica Neue" w:cs="Helvetica Neue"/>
          <w:color w:val="1F497D"/>
          <w:sz w:val="18"/>
          <w:szCs w:val="18"/>
        </w:rPr>
      </w:pPr>
      <w:r>
        <w:rPr>
          <w:rFonts w:ascii="Verdana" w:eastAsia="Verdana" w:hAnsi="Verdana" w:cs="Verdana"/>
          <w:noProof/>
          <w:color w:val="1F497D"/>
          <w:sz w:val="17"/>
          <w:szCs w:val="17"/>
        </w:rPr>
        <w:drawing>
          <wp:inline distT="0" distB="0" distL="0" distR="0" wp14:anchorId="1869AFA4" wp14:editId="2983E60B">
            <wp:extent cx="982241" cy="480819"/>
            <wp:effectExtent l="0" t="0" r="0" b="0"/>
            <wp:docPr id="6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7"/>
                    <a:srcRect l="36358" t="42001" r="52195" b="51016"/>
                    <a:stretch>
                      <a:fillRect/>
                    </a:stretch>
                  </pic:blipFill>
                  <pic:spPr>
                    <a:xfrm>
                      <a:off x="0" y="0"/>
                      <a:ext cx="982241" cy="480819"/>
                    </a:xfrm>
                    <a:prstGeom prst="rect">
                      <a:avLst/>
                    </a:prstGeom>
                    <a:ln/>
                  </pic:spPr>
                </pic:pic>
              </a:graphicData>
            </a:graphic>
          </wp:inline>
        </w:drawing>
      </w:r>
    </w:p>
    <w:p w14:paraId="1AF0690B" w14:textId="4878E10E" w:rsidR="00C2472A" w:rsidRPr="008E2CB9" w:rsidRDefault="00AD5B53" w:rsidP="008E2CB9">
      <w:pPr>
        <w:jc w:val="right"/>
        <w:rPr>
          <w:rFonts w:asciiTheme="majorHAnsi" w:eastAsia="Helvetica Neue" w:hAnsiTheme="majorHAnsi" w:cs="Helvetica Neue"/>
          <w:b/>
          <w:bCs/>
          <w:iCs/>
          <w:color w:val="1F497D"/>
          <w:sz w:val="24"/>
          <w:szCs w:val="24"/>
        </w:rPr>
      </w:pPr>
      <w:r w:rsidRPr="008E2CB9">
        <w:rPr>
          <w:rFonts w:asciiTheme="majorHAnsi" w:eastAsia="Helvetica Neue" w:hAnsiTheme="majorHAnsi" w:cs="Helvetica Neue"/>
          <w:b/>
          <w:bCs/>
          <w:iCs/>
          <w:color w:val="0F243E"/>
          <w:sz w:val="24"/>
          <w:szCs w:val="24"/>
        </w:rPr>
        <w:t xml:space="preserve">Alfred </w:t>
      </w:r>
      <w:r w:rsidR="000802DF" w:rsidRPr="008E2CB9">
        <w:rPr>
          <w:rFonts w:asciiTheme="majorHAnsi" w:eastAsia="Helvetica Neue" w:hAnsiTheme="majorHAnsi" w:cs="Helvetica Neue"/>
          <w:b/>
          <w:bCs/>
          <w:iCs/>
          <w:color w:val="0F243E"/>
          <w:sz w:val="24"/>
          <w:szCs w:val="24"/>
        </w:rPr>
        <w:t xml:space="preserve">Anate Bodurin </w:t>
      </w:r>
      <w:r w:rsidRPr="008E2CB9">
        <w:rPr>
          <w:rFonts w:asciiTheme="majorHAnsi" w:eastAsia="Helvetica Neue" w:hAnsiTheme="majorHAnsi" w:cs="Helvetica Neue"/>
          <w:b/>
          <w:bCs/>
          <w:iCs/>
          <w:color w:val="0F243E"/>
          <w:sz w:val="24"/>
          <w:szCs w:val="24"/>
        </w:rPr>
        <w:t>Mayaki</w:t>
      </w:r>
    </w:p>
    <w:p w14:paraId="13FA99C0" w14:textId="77777777" w:rsidR="00C2472A" w:rsidRDefault="00C2472A">
      <w:pPr>
        <w:rPr>
          <w:rFonts w:ascii="Helvetica Neue" w:eastAsia="Helvetica Neue" w:hAnsi="Helvetica Neue" w:cs="Helvetica Neue"/>
          <w:color w:val="1F497D"/>
          <w:sz w:val="18"/>
          <w:szCs w:val="18"/>
        </w:rPr>
      </w:pPr>
    </w:p>
    <w:p w14:paraId="0FE90A8F" w14:textId="77777777" w:rsidR="00C2472A" w:rsidRDefault="00C2472A">
      <w:pPr>
        <w:rPr>
          <w:rFonts w:ascii="Helvetica Neue" w:eastAsia="Helvetica Neue" w:hAnsi="Helvetica Neue" w:cs="Helvetica Neue"/>
          <w:color w:val="1F497D"/>
          <w:sz w:val="18"/>
          <w:szCs w:val="18"/>
        </w:rPr>
      </w:pPr>
    </w:p>
    <w:p w14:paraId="7A46BF13" w14:textId="77777777" w:rsidR="00C2472A" w:rsidRDefault="00C2472A">
      <w:pPr>
        <w:rPr>
          <w:rFonts w:ascii="Helvetica Neue" w:eastAsia="Helvetica Neue" w:hAnsi="Helvetica Neue" w:cs="Helvetica Neue"/>
          <w:color w:val="1F497D"/>
          <w:sz w:val="18"/>
          <w:szCs w:val="18"/>
        </w:rPr>
      </w:pPr>
    </w:p>
    <w:p w14:paraId="071D45C6" w14:textId="77777777" w:rsidR="00C2472A" w:rsidRDefault="00C2472A">
      <w:pPr>
        <w:rPr>
          <w:rFonts w:ascii="Helvetica Neue" w:eastAsia="Helvetica Neue" w:hAnsi="Helvetica Neue" w:cs="Helvetica Neue"/>
          <w:color w:val="1F497D"/>
          <w:sz w:val="18"/>
          <w:szCs w:val="18"/>
        </w:rPr>
      </w:pPr>
    </w:p>
    <w:p w14:paraId="090A78CD" w14:textId="77777777" w:rsidR="00C2472A" w:rsidRDefault="00C2472A">
      <w:pPr>
        <w:rPr>
          <w:rFonts w:ascii="Helvetica Neue" w:eastAsia="Helvetica Neue" w:hAnsi="Helvetica Neue" w:cs="Helvetica Neue"/>
          <w:color w:val="1F497D"/>
          <w:sz w:val="18"/>
          <w:szCs w:val="18"/>
        </w:rPr>
      </w:pPr>
    </w:p>
    <w:p w14:paraId="71C908F7" w14:textId="77777777" w:rsidR="00C2472A" w:rsidRDefault="00C2472A">
      <w:pPr>
        <w:rPr>
          <w:rFonts w:ascii="Helvetica Neue" w:eastAsia="Helvetica Neue" w:hAnsi="Helvetica Neue" w:cs="Helvetica Neue"/>
          <w:color w:val="1F497D"/>
          <w:sz w:val="18"/>
          <w:szCs w:val="18"/>
        </w:rPr>
      </w:pPr>
    </w:p>
    <w:p w14:paraId="4869EA49" w14:textId="77777777" w:rsidR="00C2472A" w:rsidRDefault="00C2472A">
      <w:pPr>
        <w:rPr>
          <w:rFonts w:ascii="Helvetica Neue" w:eastAsia="Helvetica Neue" w:hAnsi="Helvetica Neue" w:cs="Helvetica Neue"/>
          <w:color w:val="1F497D"/>
          <w:sz w:val="18"/>
          <w:szCs w:val="18"/>
        </w:rPr>
      </w:pPr>
    </w:p>
    <w:p w14:paraId="224DC46B" w14:textId="77777777" w:rsidR="00C2472A" w:rsidRDefault="00C2472A">
      <w:pPr>
        <w:rPr>
          <w:rFonts w:ascii="Helvetica Neue" w:eastAsia="Helvetica Neue" w:hAnsi="Helvetica Neue" w:cs="Helvetica Neue"/>
          <w:color w:val="1F497D"/>
          <w:sz w:val="18"/>
          <w:szCs w:val="18"/>
        </w:rPr>
      </w:pPr>
    </w:p>
    <w:p w14:paraId="1C7504CE" w14:textId="77777777" w:rsidR="00C2472A" w:rsidRDefault="00C2472A">
      <w:pPr>
        <w:rPr>
          <w:rFonts w:ascii="Helvetica Neue" w:eastAsia="Helvetica Neue" w:hAnsi="Helvetica Neue" w:cs="Helvetica Neue"/>
          <w:color w:val="1F497D"/>
          <w:sz w:val="18"/>
          <w:szCs w:val="18"/>
        </w:rPr>
      </w:pPr>
    </w:p>
    <w:p w14:paraId="504614B2" w14:textId="77777777" w:rsidR="00C2472A" w:rsidRDefault="00C2472A">
      <w:pPr>
        <w:rPr>
          <w:rFonts w:ascii="Helvetica Neue" w:eastAsia="Helvetica Neue" w:hAnsi="Helvetica Neue" w:cs="Helvetica Neue"/>
          <w:color w:val="1F497D"/>
          <w:sz w:val="18"/>
          <w:szCs w:val="18"/>
        </w:rPr>
      </w:pPr>
    </w:p>
    <w:p w14:paraId="2B94E3E8" w14:textId="77777777" w:rsidR="00C2472A" w:rsidRDefault="00C2472A">
      <w:pPr>
        <w:rPr>
          <w:rFonts w:ascii="Helvetica Neue" w:eastAsia="Helvetica Neue" w:hAnsi="Helvetica Neue" w:cs="Helvetica Neue"/>
          <w:sz w:val="18"/>
          <w:szCs w:val="18"/>
        </w:rPr>
      </w:pPr>
    </w:p>
    <w:p w14:paraId="09F7FCB3" w14:textId="77777777" w:rsidR="00C2472A" w:rsidRDefault="00C2472A">
      <w:pPr>
        <w:pBdr>
          <w:top w:val="none" w:sz="0" w:space="0" w:color="000000"/>
          <w:left w:val="none" w:sz="0" w:space="0" w:color="000000"/>
          <w:right w:val="none" w:sz="0" w:space="0" w:color="000000"/>
        </w:pBdr>
        <w:spacing w:after="0" w:line="312" w:lineRule="auto"/>
        <w:jc w:val="both"/>
        <w:rPr>
          <w:rFonts w:ascii="Helvetica Neue" w:eastAsia="Helvetica Neue" w:hAnsi="Helvetica Neue" w:cs="Helvetica Neue"/>
          <w:sz w:val="18"/>
          <w:szCs w:val="18"/>
        </w:rPr>
      </w:pPr>
    </w:p>
    <w:p w14:paraId="729E6CAD" w14:textId="77777777" w:rsidR="00C2472A" w:rsidRDefault="00C2472A">
      <w:pPr>
        <w:spacing w:after="120" w:line="360" w:lineRule="auto"/>
        <w:jc w:val="both"/>
        <w:rPr>
          <w:rFonts w:ascii="Helvetica Neue" w:eastAsia="Helvetica Neue" w:hAnsi="Helvetica Neue" w:cs="Helvetica Neue"/>
          <w:color w:val="0F243E"/>
          <w:sz w:val="18"/>
          <w:szCs w:val="18"/>
        </w:rPr>
      </w:pPr>
      <w:bookmarkStart w:id="0" w:name="_heading=h.zcyslkvfxu1v" w:colFirst="0" w:colLast="0"/>
      <w:bookmarkEnd w:id="0"/>
    </w:p>
    <w:p w14:paraId="42BC21EF"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466E95AE"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1B711578"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5C516D97"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3AE62142"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2996ADEE"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149B4BD8"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24B962C8"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770F46CE"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026B4D52" w14:textId="77777777" w:rsidR="00C2472A" w:rsidRDefault="00C2472A">
      <w:pPr>
        <w:spacing w:after="120" w:line="360" w:lineRule="auto"/>
        <w:jc w:val="both"/>
        <w:rPr>
          <w:rFonts w:ascii="Helvetica Neue" w:eastAsia="Helvetica Neue" w:hAnsi="Helvetica Neue" w:cs="Helvetica Neue"/>
          <w:color w:val="0F243E"/>
          <w:sz w:val="18"/>
          <w:szCs w:val="18"/>
        </w:rPr>
      </w:pPr>
    </w:p>
    <w:p w14:paraId="757170A8" w14:textId="77777777" w:rsidR="00DD0FDE" w:rsidRDefault="00DD0FDE">
      <w:pPr>
        <w:spacing w:after="120" w:line="360" w:lineRule="auto"/>
        <w:jc w:val="both"/>
        <w:rPr>
          <w:rFonts w:ascii="Helvetica Neue" w:eastAsia="Helvetica Neue" w:hAnsi="Helvetica Neue" w:cs="Helvetica Neue"/>
          <w:color w:val="0F243E"/>
          <w:sz w:val="18"/>
          <w:szCs w:val="18"/>
        </w:rPr>
        <w:sectPr w:rsidR="00DD0FDE">
          <w:headerReference w:type="default" r:id="rId18"/>
          <w:footerReference w:type="default" r:id="rId19"/>
          <w:headerReference w:type="first" r:id="rId20"/>
          <w:footerReference w:type="first" r:id="rId21"/>
          <w:pgSz w:w="11906" w:h="16838"/>
          <w:pgMar w:top="720" w:right="720" w:bottom="720" w:left="720" w:header="708" w:footer="708" w:gutter="0"/>
          <w:pgNumType w:start="0"/>
          <w:cols w:space="720"/>
          <w:titlePg/>
        </w:sectPr>
      </w:pPr>
    </w:p>
    <w:p w14:paraId="72E4EB7E" w14:textId="373B322C" w:rsidR="00A76E8F" w:rsidRPr="00DD0FDE" w:rsidRDefault="00A76E8F" w:rsidP="00A76E8F">
      <w:pPr>
        <w:spacing w:after="0" w:line="360" w:lineRule="auto"/>
        <w:jc w:val="both"/>
        <w:rPr>
          <w:rFonts w:ascii="Arial" w:eastAsia="Helvetica Neue" w:hAnsi="Arial" w:cs="Arial"/>
          <w:b/>
          <w:bCs/>
          <w:color w:val="0F243E"/>
        </w:rPr>
      </w:pPr>
      <w:r w:rsidRPr="00DD0FDE">
        <w:rPr>
          <w:rFonts w:ascii="Arial" w:eastAsia="Helvetica Neue" w:hAnsi="Arial" w:cs="Arial"/>
          <w:b/>
          <w:bCs/>
          <w:color w:val="0F243E"/>
        </w:rPr>
        <w:lastRenderedPageBreak/>
        <w:t>Introduction</w:t>
      </w:r>
    </w:p>
    <w:p w14:paraId="532B22B4"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Artificial Intelligence (Henceforth “AI”) has been argued to carry the potential to change or affect various types of skill-based worker allocations, to mitigate the consequence of overexposure to unconscious biases, and to help design more comprehensive approaches to allocate talent, and efficiently categorise new workers to roles, whilst developing an overarching organisational focus on skill-based outcomes, more generally. However, according to Kolotilin, et. al. (2025), a peer effects problem exists, particularly with respect to the task of allocation under Bayesian persuasion (Gentzkow and </w:t>
      </w:r>
      <w:proofErr w:type="spellStart"/>
      <w:r w:rsidRPr="00A76E8F">
        <w:rPr>
          <w:rFonts w:ascii="Helvetica Neue" w:eastAsia="Helvetica Neue" w:hAnsi="Helvetica Neue" w:cs="Helvetica Neue"/>
          <w:color w:val="0F243E"/>
          <w:sz w:val="18"/>
          <w:szCs w:val="18"/>
        </w:rPr>
        <w:t>Kamenica</w:t>
      </w:r>
      <w:proofErr w:type="spellEnd"/>
      <w:r w:rsidRPr="00A76E8F">
        <w:rPr>
          <w:rFonts w:ascii="Helvetica Neue" w:eastAsia="Helvetica Neue" w:hAnsi="Helvetica Neue" w:cs="Helvetica Neue"/>
          <w:color w:val="0F243E"/>
          <w:sz w:val="18"/>
          <w:szCs w:val="18"/>
        </w:rPr>
        <w:t>, 2011; Galeotti et.al., 2025). One of the more pronounced gaps in the literature on AI is competition and negotiated transfers (Mayaki, 2024; Smith et. al., 2025) which doesn’t correct for the capture of nonlinear equilibria.</w:t>
      </w:r>
    </w:p>
    <w:p w14:paraId="33D3FA69" w14:textId="77777777" w:rsidR="00805AC9" w:rsidRPr="00A76E8F" w:rsidRDefault="00805AC9" w:rsidP="00A76E8F">
      <w:pPr>
        <w:spacing w:after="0" w:line="360" w:lineRule="auto"/>
        <w:jc w:val="both"/>
        <w:rPr>
          <w:rFonts w:ascii="Helvetica Neue" w:eastAsia="Helvetica Neue" w:hAnsi="Helvetica Neue" w:cs="Helvetica Neue"/>
          <w:color w:val="0F243E"/>
          <w:sz w:val="18"/>
          <w:szCs w:val="18"/>
        </w:rPr>
      </w:pPr>
    </w:p>
    <w:p w14:paraId="5E73D610" w14:textId="1CE802E6" w:rsidR="008231D3" w:rsidRPr="00DD0FDE" w:rsidRDefault="00A76E8F" w:rsidP="00A76E8F">
      <w:pPr>
        <w:spacing w:after="0" w:line="360" w:lineRule="auto"/>
        <w:jc w:val="both"/>
        <w:rPr>
          <w:rFonts w:ascii="Arial" w:eastAsia="Helvetica Neue" w:hAnsi="Arial" w:cs="Arial"/>
          <w:b/>
          <w:bCs/>
          <w:color w:val="0F243E"/>
        </w:rPr>
      </w:pPr>
      <w:r w:rsidRPr="00DD0FDE">
        <w:rPr>
          <w:rFonts w:ascii="Arial" w:eastAsia="Helvetica Neue" w:hAnsi="Arial" w:cs="Arial"/>
          <w:b/>
          <w:bCs/>
          <w:color w:val="0F243E"/>
        </w:rPr>
        <w:t>Theoretical Background</w:t>
      </w:r>
    </w:p>
    <w:p w14:paraId="672CE734"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While AI and signalling are two very similar but distinct topics, a great starting point for critique is the work of Kolotilin et. al. (2025) who defines two explicit cases of the ‘</w:t>
      </w:r>
      <w:proofErr w:type="spellStart"/>
      <w:r w:rsidRPr="00A76E8F">
        <w:rPr>
          <w:rFonts w:ascii="Helvetica Neue" w:eastAsia="Helvetica Neue" w:hAnsi="Helvetica Neue" w:cs="Helvetica Neue"/>
          <w:color w:val="0F243E"/>
          <w:sz w:val="18"/>
          <w:szCs w:val="18"/>
        </w:rPr>
        <w:t>Kamenica</w:t>
      </w:r>
      <w:proofErr w:type="spellEnd"/>
      <w:r w:rsidRPr="00A76E8F">
        <w:rPr>
          <w:rFonts w:ascii="Helvetica Neue" w:eastAsia="Helvetica Neue" w:hAnsi="Helvetica Neue" w:cs="Helvetica Neue"/>
          <w:color w:val="0F243E"/>
          <w:sz w:val="18"/>
          <w:szCs w:val="18"/>
        </w:rPr>
        <w:t xml:space="preserve">-Gentzkow’ or ‘KG’ Bayesian persuasion model (Gentzkow and </w:t>
      </w:r>
      <w:proofErr w:type="spellStart"/>
      <w:r w:rsidRPr="00A76E8F">
        <w:rPr>
          <w:rFonts w:ascii="Helvetica Neue" w:eastAsia="Helvetica Neue" w:hAnsi="Helvetica Neue" w:cs="Helvetica Neue"/>
          <w:color w:val="0F243E"/>
          <w:sz w:val="18"/>
          <w:szCs w:val="18"/>
        </w:rPr>
        <w:t>Kamenica</w:t>
      </w:r>
      <w:proofErr w:type="spellEnd"/>
      <w:r w:rsidRPr="00A76E8F">
        <w:rPr>
          <w:rFonts w:ascii="Helvetica Neue" w:eastAsia="Helvetica Neue" w:hAnsi="Helvetica Neue" w:cs="Helvetica Neue"/>
          <w:color w:val="0F243E"/>
          <w:sz w:val="18"/>
          <w:szCs w:val="18"/>
        </w:rPr>
        <w:t xml:space="preserve">, 2011; Che et. al., 2022) in his work—Bayesian persuasion is defined by Kolotilin as a situation where many senders attempt to persuade a single receiver to take a particular action (in this case, to hire, given a revealed signal about the sender’s circumstances)—one case being the linear, and the other being the nonlinear occurring in this respect, with a random walk  variable (Skardal and Adhikari, 2019). This occurs with an assumption of no misinformation. In a written work on signalling and its numerous contexts, another cohort of authors find evidence—in a review of digitalisation—that a linear process (Gentzkow and </w:t>
      </w:r>
      <w:proofErr w:type="spellStart"/>
      <w:r w:rsidRPr="00A76E8F">
        <w:rPr>
          <w:rFonts w:ascii="Helvetica Neue" w:eastAsia="Helvetica Neue" w:hAnsi="Helvetica Neue" w:cs="Helvetica Neue"/>
          <w:color w:val="0F243E"/>
          <w:sz w:val="18"/>
          <w:szCs w:val="18"/>
        </w:rPr>
        <w:t>Kamenica</w:t>
      </w:r>
      <w:proofErr w:type="spellEnd"/>
      <w:r w:rsidRPr="00A76E8F">
        <w:rPr>
          <w:rFonts w:ascii="Helvetica Neue" w:eastAsia="Helvetica Neue" w:hAnsi="Helvetica Neue" w:cs="Helvetica Neue"/>
          <w:color w:val="0F243E"/>
          <w:sz w:val="18"/>
          <w:szCs w:val="18"/>
        </w:rPr>
        <w:t>, 2016) has several shortcomings when viewed in its traditional sense. If we assume the linear case i.e. a frictionless signalling environment or a case where the sender and receiver are able to successfully design a signal message that maximises the probability of signal realization via the message, then the premise of this study is rather trivial, and the question is answered quite formally in the proofs in Kolotilin et. al.’s outstanding commentary. However, if we consider the nonlinear case with costly frictions (Che, Kim and Mierendorff, 2022) for both the sender and receiver, then the problem of peer effects begins to arise.</w:t>
      </w:r>
    </w:p>
    <w:p w14:paraId="7818F457" w14:textId="77777777" w:rsidR="008231D3" w:rsidRPr="00A76E8F" w:rsidRDefault="008231D3" w:rsidP="00A76E8F">
      <w:pPr>
        <w:spacing w:after="0" w:line="360" w:lineRule="auto"/>
        <w:jc w:val="both"/>
        <w:rPr>
          <w:rFonts w:ascii="Helvetica Neue" w:eastAsia="Helvetica Neue" w:hAnsi="Helvetica Neue" w:cs="Helvetica Neue"/>
          <w:color w:val="0F243E"/>
          <w:sz w:val="18"/>
          <w:szCs w:val="18"/>
        </w:rPr>
      </w:pPr>
    </w:p>
    <w:p w14:paraId="40AEA875" w14:textId="77777777" w:rsidR="00A76E8F" w:rsidRPr="00DD0FDE" w:rsidRDefault="00A76E8F" w:rsidP="00A76E8F">
      <w:pPr>
        <w:spacing w:after="0" w:line="360" w:lineRule="auto"/>
        <w:jc w:val="both"/>
        <w:rPr>
          <w:rFonts w:ascii="Arial" w:eastAsia="Helvetica Neue" w:hAnsi="Arial" w:cs="Arial"/>
          <w:b/>
          <w:bCs/>
          <w:color w:val="0F243E"/>
        </w:rPr>
      </w:pPr>
      <w:r w:rsidRPr="00DD0FDE">
        <w:rPr>
          <w:rFonts w:ascii="Arial" w:eastAsia="Helvetica Neue" w:hAnsi="Arial" w:cs="Arial"/>
          <w:b/>
          <w:bCs/>
          <w:color w:val="0F243E"/>
        </w:rPr>
        <w:t>Optimal Signalling and Strategic Form</w:t>
      </w:r>
    </w:p>
    <w:p w14:paraId="07815FEF"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Without an evidence-base and given the nuances of the Stages model, we cannot rely on an argument that it may be that the nonlinear case welcomes more readily strategic narratives or unitarian forms of stakeholder capitalism especially under the resource-based view (Lado and Wilson, 1994), where the owner incentives and competitiveness are prioritised but as Chapter 8 of Van Riel and </w:t>
      </w:r>
      <w:proofErr w:type="spellStart"/>
      <w:r w:rsidRPr="00A76E8F">
        <w:rPr>
          <w:rFonts w:ascii="Helvetica Neue" w:eastAsia="Helvetica Neue" w:hAnsi="Helvetica Neue" w:cs="Helvetica Neue"/>
          <w:color w:val="0F243E"/>
          <w:sz w:val="18"/>
          <w:szCs w:val="18"/>
        </w:rPr>
        <w:t>Fombrun</w:t>
      </w:r>
      <w:proofErr w:type="spellEnd"/>
      <w:r w:rsidRPr="00A76E8F">
        <w:rPr>
          <w:rFonts w:ascii="Helvetica Neue" w:eastAsia="Helvetica Neue" w:hAnsi="Helvetica Neue" w:cs="Helvetica Neue"/>
          <w:color w:val="0F243E"/>
          <w:sz w:val="18"/>
          <w:szCs w:val="18"/>
        </w:rPr>
        <w:t xml:space="preserve"> (2007) indicates, shareholders are not the only stakeholders in the organization with incentive to act in its best interests (what Lado and Wilson refer to as ‘proclivity’), workers too, can be viewed as internal stakeholders. Signalling theory (Spence, 1973) therefore, widely seen as a seminal work (van Damme and Güth, 1991, p.264; Kolotilin, 2015), postulates itself as providing a microscopic lens into the origins of worker-firm incentive matching in economic theory, demonstrating how unobserved productivity between workers and firms (Bafera and Kleinert, 2023) sets the scene for a cogent analysis of competing interests with respect to a many-to-one job market solution (Kolotilin et. al., 2024; Illyushina, Walker and Timming, 2024) where the peer effects problem persists. It remains the case that Spence (1973)’s main hypothesis—that signals act as communicative devices between firm and worker, such as when workers invest more in education signalling to firms that a higher wage is expected (Kolotilin, 2015)—is yet to be reconciled directly with the problem of peer effects and recent work on optimal worker allocation. The central challenge for this thesis involves interpreting an N=1,034 participant survey, presenting survey results using descriptive statistics and summarising research which contextualises signalling theory in favour of the firm (Bafera and Kleinert, 2023) and in the context of the worker’s interests (Miller and Doyle, 2025) at equilibrium. How workers observe inclusive strategies both internally and externally in a volatile and uncertain environment (Barney, 1991) links back to the art of optimal signalling throughout the employee ‘journey’ or the workforce lifecycle (Celani and Singh, 2011; Miller and Doyle, 2025). The study investigates several reoccurring themes in the work of Celani and Singh (2011), and Miller and Doyle (2025) with the premise of a research article on signalling theory forming a </w:t>
      </w:r>
      <w:r w:rsidRPr="00A76E8F">
        <w:rPr>
          <w:rFonts w:ascii="Helvetica Neue" w:eastAsia="Helvetica Neue" w:hAnsi="Helvetica Neue" w:cs="Helvetica Neue"/>
          <w:color w:val="0F243E"/>
          <w:sz w:val="18"/>
          <w:szCs w:val="18"/>
        </w:rPr>
        <w:lastRenderedPageBreak/>
        <w:t>large part of the literature review. The thesis finally undertakes a 2SLS regression analysis (Greene, 2003; Chen, 2019), with an instrumental variable (IV).</w:t>
      </w:r>
    </w:p>
    <w:p w14:paraId="40D47553" w14:textId="77777777" w:rsidR="002039D0" w:rsidRPr="00A76E8F" w:rsidRDefault="002039D0" w:rsidP="00A76E8F">
      <w:pPr>
        <w:spacing w:after="0" w:line="360" w:lineRule="auto"/>
        <w:jc w:val="both"/>
        <w:rPr>
          <w:rFonts w:ascii="Helvetica Neue" w:eastAsia="Helvetica Neue" w:hAnsi="Helvetica Neue" w:cs="Helvetica Neue"/>
          <w:color w:val="0F243E"/>
          <w:sz w:val="18"/>
          <w:szCs w:val="18"/>
        </w:rPr>
      </w:pPr>
    </w:p>
    <w:p w14:paraId="0949F59F" w14:textId="31A5B55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In emerging economies such as West Africa. with the rise of AI, the central planner’s problem changes, from shifting the unemployment rate down to increasing the level of labor force participation. Let us firstly assume a low participation rate in an open economy model and that a hypothetical multinational firm F_N at time (t), seeks to employ a cohort of n_M line managers, and n_N non-supervisory staff members at a new geographical location, with a given allocated cost function which we may refer to as a wage allowance or ex-ante wage budget [{B_N(t)\bullet(w)}_N(t)]. The shareholders of the firm, denoted as S_F(t), vote unanimously by motion to hire a cohort of line managers and non-supervisory workers, closely managed by a team of expatriated and embedded human resource managers n_H in order to facilitate a geographical expansion of the firm into a new geographical location. New task roles and role profiles for all three categories of work (line managerial workers, non-supervisory staff, and human resource professionals) are identified, and a headcount figure is estimated for each role as part of a workforce plan.</w:t>
      </w:r>
    </w:p>
    <w:p w14:paraId="23E2E9E7" w14:textId="77777777" w:rsidR="002039D0" w:rsidRPr="00A76E8F" w:rsidRDefault="002039D0" w:rsidP="00A76E8F">
      <w:pPr>
        <w:spacing w:after="0" w:line="360" w:lineRule="auto"/>
        <w:jc w:val="both"/>
        <w:rPr>
          <w:rFonts w:ascii="Helvetica Neue" w:eastAsia="Helvetica Neue" w:hAnsi="Helvetica Neue" w:cs="Helvetica Neue"/>
          <w:color w:val="0F243E"/>
          <w:sz w:val="18"/>
          <w:szCs w:val="18"/>
        </w:rPr>
      </w:pPr>
    </w:p>
    <w:p w14:paraId="1088186E" w14:textId="501DE231" w:rsidR="002039D0" w:rsidRPr="00DD0FDE" w:rsidRDefault="00A76E8F" w:rsidP="00A76E8F">
      <w:pPr>
        <w:spacing w:after="0" w:line="360" w:lineRule="auto"/>
        <w:jc w:val="both"/>
        <w:rPr>
          <w:rFonts w:ascii="Arial" w:eastAsia="Helvetica Neue" w:hAnsi="Arial" w:cs="Arial"/>
          <w:b/>
          <w:bCs/>
          <w:color w:val="0F243E"/>
        </w:rPr>
      </w:pPr>
      <w:r w:rsidRPr="00DD0FDE">
        <w:rPr>
          <w:rFonts w:ascii="Arial" w:eastAsia="Helvetica Neue" w:hAnsi="Arial" w:cs="Arial"/>
          <w:b/>
          <w:bCs/>
          <w:color w:val="0F243E"/>
        </w:rPr>
        <w:t>Utility, Practices and Payoffs</w:t>
      </w:r>
    </w:p>
    <w:p w14:paraId="12E18323" w14:textId="268EDE9C"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The key feature of this model is each worker in the firm has an average tenure of \gamma years in employment. As in Mayaki (2025) initial firm endowments are exogenously determined. The open economy is therefore assumed to be perfectly competitive. The firm’s optimisation problem is initially a labor market allocation problem: that is, given an estimated annual turnover of R_F(t), what should the optimal ex-ante wage budget [{B_N(t)\bullet(w)}_N(t)] be to ensure all three cohorts of workers are sufficiently qualified, productive, and that the firm earns a reasonable percentage of competitive market share in its first year of trading as a market entrant? We consider a case where there are working practices that dictate the value of workers within the supply chain. The solution to this labor market problem of allocation of workers is of course partly dependent on the size of the firm’s wage budget {B_N(t)\bullet(w)}_N(t), which is a function of the firm’s estimated annual turnover R_F(t). However, as one might argue, forms of strategic management, </w:t>
      </w:r>
      <w:r w:rsidR="002039D0" w:rsidRPr="00A76E8F">
        <w:rPr>
          <w:rFonts w:ascii="Helvetica Neue" w:eastAsia="Helvetica Neue" w:hAnsi="Helvetica Neue" w:cs="Helvetica Neue"/>
          <w:color w:val="0F243E"/>
          <w:sz w:val="18"/>
          <w:szCs w:val="18"/>
        </w:rPr>
        <w:t>narrative and</w:t>
      </w:r>
      <w:r w:rsidRPr="00A76E8F">
        <w:rPr>
          <w:rFonts w:ascii="Helvetica Neue" w:eastAsia="Helvetica Neue" w:hAnsi="Helvetica Neue" w:cs="Helvetica Neue"/>
          <w:color w:val="0F243E"/>
          <w:sz w:val="18"/>
          <w:szCs w:val="18"/>
        </w:rPr>
        <w:t xml:space="preserve"> choice rather than simply the offered wage is at least a partial consideration for incoming workers, company shareholders and senior management alike (Porter, 2008; Anderson and Markides, 2007). </w:t>
      </w:r>
    </w:p>
    <w:p w14:paraId="39459B48" w14:textId="77777777" w:rsidR="002039D0" w:rsidRPr="00A76E8F" w:rsidRDefault="002039D0" w:rsidP="00A76E8F">
      <w:pPr>
        <w:spacing w:after="0" w:line="360" w:lineRule="auto"/>
        <w:jc w:val="both"/>
        <w:rPr>
          <w:rFonts w:ascii="Helvetica Neue" w:eastAsia="Helvetica Neue" w:hAnsi="Helvetica Neue" w:cs="Helvetica Neue"/>
          <w:color w:val="0F243E"/>
          <w:sz w:val="18"/>
          <w:szCs w:val="18"/>
        </w:rPr>
      </w:pPr>
    </w:p>
    <w:p w14:paraId="2A90945A" w14:textId="09057FA7" w:rsidR="00A76E8F" w:rsidRPr="00DD0FDE" w:rsidRDefault="00A76E8F" w:rsidP="00A76E8F">
      <w:pPr>
        <w:spacing w:after="0" w:line="360" w:lineRule="auto"/>
        <w:jc w:val="both"/>
        <w:rPr>
          <w:rFonts w:ascii="Arial" w:eastAsia="Helvetica Neue" w:hAnsi="Arial" w:cs="Arial"/>
          <w:b/>
          <w:bCs/>
          <w:color w:val="0F243E"/>
          <w:sz w:val="28"/>
          <w:szCs w:val="28"/>
        </w:rPr>
      </w:pPr>
      <w:r w:rsidRPr="00DD0FDE">
        <w:rPr>
          <w:rFonts w:ascii="Arial" w:eastAsia="Helvetica Neue" w:hAnsi="Arial" w:cs="Arial"/>
          <w:b/>
          <w:bCs/>
          <w:color w:val="0F243E"/>
        </w:rPr>
        <w:t xml:space="preserve">The Nonlinear Case </w:t>
      </w:r>
      <w:r w:rsidR="00AC06F6" w:rsidRPr="00DD0FDE">
        <w:rPr>
          <w:rFonts w:ascii="Arial" w:eastAsia="Helvetica Neue" w:hAnsi="Arial" w:cs="Arial"/>
          <w:b/>
          <w:bCs/>
          <w:color w:val="0F243E"/>
        </w:rPr>
        <w:t>–</w:t>
      </w:r>
      <w:r w:rsidRPr="00DD0FDE">
        <w:rPr>
          <w:rFonts w:ascii="Arial" w:eastAsia="Helvetica Neue" w:hAnsi="Arial" w:cs="Arial"/>
          <w:b/>
          <w:bCs/>
          <w:color w:val="0F243E"/>
        </w:rPr>
        <w:t xml:space="preserve"> Extending Kolotilin et. al. on Peer Effects</w:t>
      </w:r>
    </w:p>
    <w:p w14:paraId="0797FF44"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How then is labor force participation treated as a granular datapoint by firm F_N(t)? Prescriptively or normatively? Let us assume the workforce is allocated in a nonlinear way to a firm F_N(t) on the basis of productive capacity (Kolotilin et. al., 2024) the cumulative distribution of which is strictly quasi-concave, non-decreasing, continuous and homogonous of degree 1 in w_N at time t (Lambotte, 2025: p. 620; Varian, 1992: p.72). We can assume also that there are a finite number of workers, each with preference utility U_N(t) and an infinite number of allocations \sigma_F(t)  unique to each firm in an economy and a finite number of priced transfers, which occur at a realised cost to each firm. Working practices, which we denote as P_N(t), which are either skill or competency-based and finally many-to-one signalling occurs in regard to worker opportunity sets. Table 1.1 demonstrates the Pure Nash strategy for a simple two player game of priced transfers where in the first stage co-workers signal intentions to commit to a level of effort and firms choose whether or not to hire the cohort.</w:t>
      </w:r>
    </w:p>
    <w:p w14:paraId="2757B308" w14:textId="77777777" w:rsidR="002039D0" w:rsidRPr="00A76E8F" w:rsidRDefault="002039D0" w:rsidP="00A76E8F">
      <w:pPr>
        <w:spacing w:after="0" w:line="360" w:lineRule="auto"/>
        <w:jc w:val="both"/>
        <w:rPr>
          <w:rFonts w:ascii="Helvetica Neue" w:eastAsia="Helvetica Neue" w:hAnsi="Helvetica Neue" w:cs="Helvetica Neue"/>
          <w:color w:val="0F243E"/>
          <w:sz w:val="18"/>
          <w:szCs w:val="18"/>
        </w:rPr>
      </w:pPr>
    </w:p>
    <w:p w14:paraId="6D287A83"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Table 1.1: Nash Strategy Payoff Matrix</w:t>
      </w:r>
    </w:p>
    <w:p w14:paraId="44F0F73D"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Table 1.1: Nash Strategy Payoff Matrix</w:t>
      </w:r>
    </w:p>
    <w:p w14:paraId="6B49BE8B"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Workers and Firms</w:t>
      </w:r>
      <w:r w:rsidRPr="00A76E8F">
        <w:rPr>
          <w:rFonts w:ascii="Helvetica Neue" w:eastAsia="Helvetica Neue" w:hAnsi="Helvetica Neue" w:cs="Helvetica Neue"/>
          <w:color w:val="0F243E"/>
          <w:sz w:val="18"/>
          <w:szCs w:val="18"/>
        </w:rPr>
        <w:tab/>
        <w:t>Low Wage Offer\ (t)</w:t>
      </w:r>
      <w:r w:rsidRPr="00A76E8F">
        <w:rPr>
          <w:rFonts w:ascii="Helvetica Neue" w:eastAsia="Helvetica Neue" w:hAnsi="Helvetica Neue" w:cs="Helvetica Neue"/>
          <w:color w:val="0F243E"/>
          <w:sz w:val="18"/>
          <w:szCs w:val="18"/>
        </w:rPr>
        <w:tab/>
        <w:t>High Wage Offer (t)</w:t>
      </w:r>
    </w:p>
    <w:p w14:paraId="071FBD1B"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Low Utility (\mathbit{t})</w:t>
      </w:r>
      <w:r w:rsidRPr="00A76E8F">
        <w:rPr>
          <w:rFonts w:ascii="Helvetica Neue" w:eastAsia="Helvetica Neue" w:hAnsi="Helvetica Neue" w:cs="Helvetica Neue"/>
          <w:color w:val="0F243E"/>
          <w:sz w:val="18"/>
          <w:szCs w:val="18"/>
        </w:rPr>
        <w:tab/>
        <w:t>w_N^{DL}{,w}_N^{SL}</w:t>
      </w:r>
      <w:r w:rsidRPr="00A76E8F">
        <w:rPr>
          <w:rFonts w:ascii="Helvetica Neue" w:eastAsia="Helvetica Neue" w:hAnsi="Helvetica Neue" w:cs="Helvetica Neue"/>
          <w:color w:val="0F243E"/>
          <w:sz w:val="18"/>
          <w:szCs w:val="18"/>
        </w:rPr>
        <w:tab/>
        <w:t>w_N^{DL},\ w_N^{SH}</w:t>
      </w:r>
    </w:p>
    <w:p w14:paraId="67A669C8"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High Utility (\mathbit{t})</w:t>
      </w:r>
      <w:r w:rsidRPr="00A76E8F">
        <w:rPr>
          <w:rFonts w:ascii="Helvetica Neue" w:eastAsia="Helvetica Neue" w:hAnsi="Helvetica Neue" w:cs="Helvetica Neue"/>
          <w:color w:val="0F243E"/>
          <w:sz w:val="18"/>
          <w:szCs w:val="18"/>
        </w:rPr>
        <w:tab/>
        <w:t>w_N^{DH},\ w_N^{SL}</w:t>
      </w:r>
      <w:r w:rsidRPr="00A76E8F">
        <w:rPr>
          <w:rFonts w:ascii="Helvetica Neue" w:eastAsia="Helvetica Neue" w:hAnsi="Helvetica Neue" w:cs="Helvetica Neue"/>
          <w:color w:val="0F243E"/>
          <w:sz w:val="18"/>
          <w:szCs w:val="18"/>
        </w:rPr>
        <w:tab/>
        <w:t>w_N^{D\ast},\ w_N^{S\ast}</w:t>
      </w:r>
    </w:p>
    <w:p w14:paraId="7635079A"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p>
    <w:p w14:paraId="6B719900" w14:textId="77777777" w:rsidR="00A76E8F" w:rsidRPr="00FD61D1" w:rsidRDefault="00A76E8F" w:rsidP="00A76E8F">
      <w:pPr>
        <w:spacing w:after="0" w:line="360" w:lineRule="auto"/>
        <w:jc w:val="both"/>
        <w:rPr>
          <w:rFonts w:ascii="Arial" w:eastAsia="Helvetica Neue" w:hAnsi="Arial" w:cs="Arial"/>
          <w:b/>
          <w:bCs/>
          <w:color w:val="0F243E"/>
          <w:szCs w:val="24"/>
        </w:rPr>
      </w:pPr>
      <w:r w:rsidRPr="00FD61D1">
        <w:rPr>
          <w:rFonts w:ascii="Arial" w:eastAsia="Helvetica Neue" w:hAnsi="Arial" w:cs="Arial"/>
          <w:b/>
          <w:bCs/>
          <w:color w:val="0F243E"/>
          <w:szCs w:val="24"/>
        </w:rPr>
        <w:t>Pre-Defining Equilibrium Conditions</w:t>
      </w:r>
    </w:p>
    <w:p w14:paraId="00079129"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lastRenderedPageBreak/>
        <w:t xml:space="preserve">We only assume competency-based working practices display monotonicity along the firm output function, prioritising worker education, proficiency and productive efficiency. All three worker types may only signal to firms their level of experience and education which signal productive capacity and a categorical wage utility. We can therefore produce an objective function, where the real wage supplied to N workers w_N^S(t) at time t is equal to the total firm revenue R_F(t) minus the firm specific ex-ante wage budget divided by the total number of workers and divided by a firm specific scalar of working practices, which is strictly concave. Hence, equilibrium conditions are met everywhere where: </w:t>
      </w:r>
    </w:p>
    <w:p w14:paraId="3D58849F"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p>
    <w:p w14:paraId="07E4A07B" w14:textId="77777777" w:rsidR="00A76E8F" w:rsidRPr="00FD61D1" w:rsidRDefault="00A76E8F" w:rsidP="00A76E8F">
      <w:pPr>
        <w:spacing w:after="0" w:line="360" w:lineRule="auto"/>
        <w:jc w:val="both"/>
        <w:rPr>
          <w:rFonts w:ascii="Arial" w:eastAsia="Helvetica Neue" w:hAnsi="Arial" w:cs="Arial"/>
          <w:b/>
          <w:bCs/>
          <w:color w:val="0F243E"/>
          <w:szCs w:val="24"/>
        </w:rPr>
      </w:pPr>
      <w:r w:rsidRPr="00FD61D1">
        <w:rPr>
          <w:rFonts w:ascii="Arial" w:eastAsia="Helvetica Neue" w:hAnsi="Arial" w:cs="Arial"/>
          <w:b/>
          <w:bCs/>
          <w:color w:val="0F243E"/>
          <w:szCs w:val="24"/>
        </w:rPr>
        <w:t>Figure 1.1: Pure Nash Equilibrium</w:t>
      </w:r>
    </w:p>
    <w:p w14:paraId="68ED5231"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(1.11)</w:t>
      </w:r>
      <w:r w:rsidRPr="00A76E8F">
        <w:rPr>
          <w:rFonts w:ascii="Helvetica Neue" w:eastAsia="Helvetica Neue" w:hAnsi="Helvetica Neue" w:cs="Helvetica Neue"/>
          <w:color w:val="0F243E"/>
          <w:sz w:val="18"/>
          <w:szCs w:val="18"/>
        </w:rPr>
        <w:tab/>
        <w:t xml:space="preserve">      {(argmin)w}_N^{S\ast}(t)={(argmax)w}_N^{D\ast}(t)</w:t>
      </w:r>
    </w:p>
    <w:p w14:paraId="737714E3"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The wage budgeted by each firm is equal to the wage utility of N workers which is slightly easier to deduce, as the function w_N^D(t) is composed, as such, of exogenously determined concepts and variables such as preference for leisure and the ratio of household consumption-to-savings (Mayaki, 2024). The endogeneity in this thesis’s model relates to the worker’s pre-employment signal about their level of education E_U and the worker’s pre-employment signal about their skills proficiency (i.e. level of experience) E_X multiplied by the likelihood that the worker is a member of a politically-affiliated trade union which is a percentage, \mu_N(t), ranging between 0% (low likelihood of union affiliation) and 100% (certainty of union affiliation). Further empirical research may wish to explore the influence of peer effects on trade union membership under different equilibrium conditions. </w:t>
      </w:r>
    </w:p>
    <w:p w14:paraId="31A19F81" w14:textId="77777777" w:rsidR="002039D0" w:rsidRPr="00A76E8F" w:rsidRDefault="002039D0" w:rsidP="00A76E8F">
      <w:pPr>
        <w:spacing w:after="0" w:line="360" w:lineRule="auto"/>
        <w:jc w:val="both"/>
        <w:rPr>
          <w:rFonts w:ascii="Helvetica Neue" w:eastAsia="Helvetica Neue" w:hAnsi="Helvetica Neue" w:cs="Helvetica Neue"/>
          <w:color w:val="0F243E"/>
          <w:sz w:val="18"/>
          <w:szCs w:val="18"/>
        </w:rPr>
      </w:pPr>
    </w:p>
    <w:p w14:paraId="3A6948AB" w14:textId="77777777" w:rsidR="00A76E8F" w:rsidRPr="00FD61D1" w:rsidRDefault="00A76E8F" w:rsidP="00A76E8F">
      <w:pPr>
        <w:spacing w:after="0" w:line="360" w:lineRule="auto"/>
        <w:jc w:val="both"/>
        <w:rPr>
          <w:rFonts w:ascii="Arial" w:eastAsia="Helvetica Neue" w:hAnsi="Arial" w:cs="Arial"/>
          <w:b/>
          <w:bCs/>
          <w:color w:val="0F243E"/>
          <w:szCs w:val="24"/>
        </w:rPr>
      </w:pPr>
      <w:r w:rsidRPr="00FD61D1">
        <w:rPr>
          <w:rFonts w:ascii="Arial" w:eastAsia="Helvetica Neue" w:hAnsi="Arial" w:cs="Arial"/>
          <w:b/>
          <w:bCs/>
          <w:color w:val="0F243E"/>
          <w:szCs w:val="24"/>
        </w:rPr>
        <w:t>Further Equilibrium Conditions</w:t>
      </w:r>
    </w:p>
    <w:p w14:paraId="741599DD"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In a repeated game of optimal information design, we are particularly interested in solutions where (argmin)w_N^S(t)\neq{(argmax)w}_N^D(t) occurs or rather where heterogeneous worker allocations (which are ordinal and ranked in group form based on education and productivity) are not in equilibrium as per Blandin, Boyd and Prescott (2015) and as indicated by the outcome of the negotiated wage and the worker’s output per increment of time (t...T), where worker heterogeneity interjects with supermodularity and monotonicity of practices-to-transfers (Gentzkow and Kamenica, 2016; Kolotilin et. al., 2025), hence the sweet spot occurs where the boundary condition of strategic complementarity (Galeotti et. al., 2009: p.220) is always met (Figure 1.1) by all three conditions in equilibrium.</w:t>
      </w:r>
    </w:p>
    <w:p w14:paraId="2912817A"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7BBCBA01"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In an earlier work (Mayaki, 2024), I argue for two concepts; the first being the existence of a pre-game agreement between each firm and their workforce, allowing workers the privilege of discussing ‘the possibility of entering into a contract for employment’, whereby players may also create incentivised network links with co-workers as with Lambotte (2025) prior to engaging in the signalling game (Blume and Ortmann, 2007: p.279), with the incentive of improving transfer capacity measured by a shift in the preference utility for {w^\ast}_N^D(t) where {w^\ast}_N^D(t)&gt;\sum_{1}^{N}{W_N^S(t)} occurs as the difference between signalled productivity and improvements in actual group productivity. The second being an equilibrium across markets, where firms may ‘signal entry’ and ‘signal to workers’ about the nature of its respective competitive strategy.</w:t>
      </w:r>
    </w:p>
    <w:p w14:paraId="3C215A58"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22B77F53" w14:textId="2559CB74" w:rsidR="00A76E8F" w:rsidRPr="00FD61D1" w:rsidRDefault="00A76E8F" w:rsidP="00A76E8F">
      <w:pPr>
        <w:spacing w:after="0" w:line="360" w:lineRule="auto"/>
        <w:jc w:val="both"/>
        <w:rPr>
          <w:rFonts w:ascii="Arial" w:eastAsia="Helvetica Neue" w:hAnsi="Arial" w:cs="Arial"/>
          <w:b/>
          <w:bCs/>
          <w:color w:val="0F243E"/>
          <w:szCs w:val="24"/>
        </w:rPr>
      </w:pPr>
      <w:r w:rsidRPr="00FD61D1">
        <w:rPr>
          <w:rFonts w:ascii="Arial" w:eastAsia="Helvetica Neue" w:hAnsi="Arial" w:cs="Arial"/>
          <w:b/>
          <w:bCs/>
          <w:color w:val="0F243E"/>
          <w:szCs w:val="24"/>
        </w:rPr>
        <w:t>Relevant Literature Review</w:t>
      </w:r>
      <w:r w:rsidR="00AC06F6" w:rsidRPr="00FD61D1">
        <w:rPr>
          <w:rFonts w:ascii="Arial" w:eastAsia="Helvetica Neue" w:hAnsi="Arial" w:cs="Arial"/>
          <w:b/>
          <w:bCs/>
          <w:color w:val="0F243E"/>
          <w:szCs w:val="24"/>
        </w:rPr>
        <w:t xml:space="preserve"> – </w:t>
      </w:r>
      <w:r w:rsidRPr="00FD61D1">
        <w:rPr>
          <w:rFonts w:ascii="Arial" w:eastAsia="Helvetica Neue" w:hAnsi="Arial" w:cs="Arial"/>
          <w:b/>
          <w:bCs/>
          <w:color w:val="0F243E"/>
          <w:szCs w:val="24"/>
        </w:rPr>
        <w:t>Identifying Gaps in the Research Literature</w:t>
      </w:r>
    </w:p>
    <w:p w14:paraId="749C5A55"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This Master’s thesis focuses on the Pareto-sufficient nonlinear context of signalling in labor markets, though there are other concurrent contexts pertaining to the term signalling in the literature that reference similar works such as studies on language evolution (Scott-Phillips, Kirby and Ritchie, 2009), environmental pollution, with particular application to the ‘shallow lake problem’ (Wagener, 2013) or studies on street gang recruitment (Densley, 2012) which describes ‘strategies of obligation, coercion, seduction and subterfuge’ used to ‘attract new members’. The chief ambition here is not to mirror these alternative use cases, but rather to generalise concerning a stable equilibrium condition for the negotiated wage given signals about worker productivity in a scenario where workers may be pooled based on skills proficiency and education. </w:t>
      </w:r>
    </w:p>
    <w:p w14:paraId="7600CB6A"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2D425E26"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lastRenderedPageBreak/>
        <w:t>Here, Feld and Zölitz (2017) have found evidence in favour of peer effects in education. This is significant because considering education as a signal or at least a proxy for productivity is a valid assumption. The gap in the signalling literature on education is not very vast; however, it extends to recent work by Kolotilin et. al. (2024) and with formal proofs with application to education, labor and media censorship. There is little or no example, however, before Kolotilin et. al. (2024) of any recent empirical results showing survey evidence achieved through primary quantitative research. Comparing Kolotilin et. al. (2024) to van Damme and Güth (1989), the work of the latter and thereafter van Damme and Güth (1991) explicitly refers to Spence (1973) in a model focused on perfect equilibria—as previously demonstrated in Mayaki (2024) via the notion of ‘disagreement points’ in what van Damme and Güth (1989) refer to as ‘uniformly perfect equilibria’—both worker and firm frictions are seen as a significant element to equilibrium search and matching models. Here, one might consider signalling as a solution concept to these frictions but likewise it may be feasible to offset the pros of signalling by arguing that equilibrium analysis of corporate communication and information design is too hypercritical, interested in detail which does not exist and is along the lines of the basic-hard approach, which fails to acknowledge basic tenets of human designed interactions (Van Riel and Fombrun, 2007).</w:t>
      </w:r>
    </w:p>
    <w:p w14:paraId="6C329D02"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6622A79A" w14:textId="77777777" w:rsidR="00A76E8F" w:rsidRPr="00FD61D1" w:rsidRDefault="00A76E8F" w:rsidP="00A76E8F">
      <w:pPr>
        <w:spacing w:after="0" w:line="360" w:lineRule="auto"/>
        <w:jc w:val="both"/>
        <w:rPr>
          <w:rFonts w:ascii="Arial" w:eastAsia="Helvetica Neue" w:hAnsi="Arial" w:cs="Arial"/>
          <w:b/>
          <w:bCs/>
          <w:color w:val="0F243E"/>
          <w:szCs w:val="24"/>
        </w:rPr>
      </w:pPr>
      <w:r w:rsidRPr="00FD61D1">
        <w:rPr>
          <w:rFonts w:ascii="Arial" w:eastAsia="Helvetica Neue" w:hAnsi="Arial" w:cs="Arial"/>
          <w:b/>
          <w:bCs/>
          <w:color w:val="0F243E"/>
          <w:szCs w:val="24"/>
        </w:rPr>
        <w:t>Critiquing Spence’s Signalling Game</w:t>
      </w:r>
    </w:p>
    <w:p w14:paraId="5A84A9F1"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In the view of Spence (1973) the notion of worker allocation is made analogous to the rationale of purchasing a ticket for a lottery draw, which itself becomes a problematic notion due to the euphemisms of risk, value and eventual loss being invoked. This rationale for adopting such a gamble is best described per a model composed by Barmby et. al. (1994). Spence argues that there is often an element of informational asymmetry pertaining to full knowledge of the average workers’ skill or proficiency prior to such a lottery concept being invoked. Assuming the lottery concept is associated with information that is rarely fully disseminated, a firm’s perception of this lottery gamble is what Spence (1973) credits as his “primary interest” due to the uncertainty involved when weighed against the wages offered by the firm to the worker as compensation for services. When discussing the lottery, we speak here of a singular instance of a repeated game theoretic timeline. The terms of reference adhered to by Spence (1973), constitute very strict and formal ‘belief systems’ for his term sheet mapping the firm’s observation of the lottery process. There are two kinds of attributes mentioned in Spence’s article: ‘indices’ and ‘signals’ (Spence, 1973; p. 357). The term ‘indices’ refers to immutable attributes observed by the firm amongst participants in the hiring ‘lottery’, attributes such as race or sex. This is followed closely by the familiar term ‘signals’, which references alterable attributes or those which can be manipulated by the worker (to improve on), such as education and experience. For the purposes of Spence’s research, age is considered as an alterable attribute and is therefore seen to be an index. Signals and indices are seen to be ‘parameters’ in the conditional probability distribution reflecting the ‘beliefs’ of a firm. Upon reflection with some experience, its fair and proper to infer proportionality. By this, I mean the Spencian idea that work is a lottery, is not an appropriate microscopic lens to view employment dynamics when compared to the objective of improving education and labour force participation.</w:t>
      </w:r>
    </w:p>
    <w:p w14:paraId="597B253E"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2E786B14" w14:textId="77777777" w:rsidR="00A76E8F" w:rsidRPr="00FD61D1" w:rsidRDefault="00A76E8F" w:rsidP="00A76E8F">
      <w:pPr>
        <w:spacing w:after="0" w:line="360" w:lineRule="auto"/>
        <w:jc w:val="both"/>
        <w:rPr>
          <w:rFonts w:ascii="Arial" w:eastAsia="Helvetica Neue" w:hAnsi="Arial" w:cs="Arial"/>
          <w:b/>
          <w:bCs/>
          <w:color w:val="0F243E"/>
          <w:szCs w:val="24"/>
        </w:rPr>
      </w:pPr>
      <w:r w:rsidRPr="00FD61D1">
        <w:rPr>
          <w:rFonts w:ascii="Arial" w:eastAsia="Helvetica Neue" w:hAnsi="Arial" w:cs="Arial"/>
          <w:b/>
          <w:bCs/>
          <w:color w:val="0F243E"/>
          <w:szCs w:val="24"/>
        </w:rPr>
        <w:t>Synthesising Miller and Doyle and Spence’s Signalling Game</w:t>
      </w:r>
    </w:p>
    <w:p w14:paraId="5CB0A0A7"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Much of the recommendations of this thesis on the topic of optimising an inclusive workforce can be supported by academic literature. We identify the scenario and problem faced by adult workers. Miller and Doyle (2025) shed further light on this problematisation of a Spencian-styled ‘lottery’ scenario taken by firms, providing what one might call a synthesis to the concerns highlighted in their paper. According to Miller and Doyle (2025) the article revisits the empirical findings of Khan et. al. (2023) whose literature review and wider study on the topic is the only post-COVID era work used as authority, but the article also acknowledges that research in the area of inclusive signalling to workers is relatively limited. Miller and Doyle (2025) apply a systems-based analysis of ‘signalling’ theory (or rather a systematic approach based on academic literature) in the allocation process to uncover a view that describes the inclusion of the neurodiverse worker in the workplace. While this thesis supports this analysis, it also draws attention to the resource constraints inherent to highly competitive companies (Lado and Wilson, 1994). Millar and Doyle (2025) nevertheless </w:t>
      </w:r>
      <w:r w:rsidRPr="00A76E8F">
        <w:rPr>
          <w:rFonts w:ascii="Helvetica Neue" w:eastAsia="Helvetica Neue" w:hAnsi="Helvetica Neue" w:cs="Helvetica Neue"/>
          <w:color w:val="0F243E"/>
          <w:sz w:val="18"/>
          <w:szCs w:val="18"/>
        </w:rPr>
        <w:lastRenderedPageBreak/>
        <w:t>argue organisations should go beyond the business case for an heterogenous allocation of neurotypical worker and neurodiverse co-worker by making the signalling process itself clearer (Van Damme and Güth, 1989).</w:t>
      </w:r>
    </w:p>
    <w:p w14:paraId="13290A48"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7F0FFDF5" w14:textId="77777777" w:rsidR="00A76E8F" w:rsidRPr="001F7DCD" w:rsidRDefault="00A76E8F" w:rsidP="00A76E8F">
      <w:pPr>
        <w:spacing w:after="0" w:line="360" w:lineRule="auto"/>
        <w:jc w:val="both"/>
        <w:rPr>
          <w:rFonts w:ascii="Arial" w:eastAsia="Helvetica Neue" w:hAnsi="Arial" w:cs="Arial"/>
          <w:b/>
          <w:bCs/>
          <w:color w:val="0F243E"/>
        </w:rPr>
      </w:pPr>
      <w:r w:rsidRPr="001F7DCD">
        <w:rPr>
          <w:rFonts w:ascii="Arial" w:eastAsia="Helvetica Neue" w:hAnsi="Arial" w:cs="Arial"/>
          <w:b/>
          <w:bCs/>
          <w:color w:val="0F243E"/>
        </w:rPr>
        <w:t>Critical Evaluation of Celani and Singh on Outcomes</w:t>
      </w:r>
    </w:p>
    <w:p w14:paraId="238E914C"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One can divide the approach for achieving such an eventuality as follows. Firstly, the work of Miller and Doyle treatises an interesting argument in favour of neuroinclusive approaches (Khan et. al., 2023) by encouraging proactivity from the firm’s managers. If a firm provides a list of ‘frequently requested adjustments’, then this firm action is a proactive signal to workers who may require such adjustments to participate in the many-to-one pre-allocation stage. Likewise, by sufficiently educating recruiters and hiring managers involved in the act of recruitment and selection on what “appropriate behaviours” are, and by thereafter implementing a follow-up action: prioritising diversity, equity and inclusion over the Spencian view of hiring as a lottery, we arrive at a mechanism which appreciates inclusion as a priority. Critiques may argue this may create a consequentialist dependence on prior training investment. In contrast to Miller and Doyle (2025)’s unrelenting pragmatism on the subject of signalling best practice, Celani and Singh (2011) have conducted an analysis of signalling theory from a multi-level perspective (with the use of ‘contextual effects’). In multi-level critique, the assessment of how signals are seen to reveal unknown characteristics of the organization become more stratified. The theory posited provides links between individual and organisation-level signals from firm actions. Links are made between market signals and instrumental or symbolic worker inferences. Unlike Spence (1973), Celani and Singh (2011) are concerned with outcomes. They therefore take up a consequentialist position (a position which derives itself from the moral philosophy of consequentialism) – with a focus on outcomes. By introducing their topic in such a way, Celani and Singh (2011) conclude by challenging readers to study a gap in the signalling literature—signalling from a recruiter perspective i.e. from the organisation’s perspective. This means to imply that the organisation does indeed perceive and internalise what Spence (1973) defines as ‘alterable’. Signalling theory when viewed through the Spencian microscopic lens is therefore arguably either angst or incongruent (Smith et. al., 2025) on the one hand, or catalyst and predicator on the other. By contrasting the approaches reviewed in Celani and Singh (2011) with that of Miller and Doyle (2025) it is possible to observe how in hindsight both authors take completely opposing perspectives on signalling in the context of inclusion. Chang and Chin (2018) offer a third way – idiosyncrasy. They define signalling as the communication of unique information, or rather “the sending out of information that competitors cannot easily imitate” analysing signalling on firm websites over a three-year period. Signalling therefore becomes important in job markets where numerous firms compete to “increase market share” as Chang and Chin (2018) infer stressing the importance of firm actions in a separating equilibrium. </w:t>
      </w:r>
    </w:p>
    <w:p w14:paraId="1CBF441B"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2F68DCAA"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The workforce lifecycle, now known as the employee ‘journey’, under competence-based frameworks (Lado and Wilson, 1994) covers a vast amount of terrain including interviews, performance management and compensation, which are unique to every firm yet even so, an important contemporary aspect with respect to signalling theory is that it increasingly come under the remit of Large Language Models (LLMs)—where the problem of peer effects, which is almost always inherent to generative AI, continues to surface (Galdin and Silbert, 2025; p. 36). Because competency-based frameworks are about optimising skills proficiency within the firm, signalling theory becomes paramount to the objective of allocating (human) resources to the firm. In passing, Spence himself has condemned the ‘flooding of the system’ with ubiquitous models that are trained on poorly obtained date, in what Spence refers to categorically as models which are “rubbish” (Spence et. al., 2024: p. 1985) in a recent interview.</w:t>
      </w:r>
    </w:p>
    <w:p w14:paraId="73E6DB26" w14:textId="77777777" w:rsidR="00AC06F6" w:rsidRPr="00A76E8F" w:rsidRDefault="00AC06F6" w:rsidP="00A76E8F">
      <w:pPr>
        <w:spacing w:after="0" w:line="360" w:lineRule="auto"/>
        <w:jc w:val="both"/>
        <w:rPr>
          <w:rFonts w:ascii="Helvetica Neue" w:eastAsia="Helvetica Neue" w:hAnsi="Helvetica Neue" w:cs="Helvetica Neue"/>
          <w:color w:val="0F243E"/>
          <w:sz w:val="18"/>
          <w:szCs w:val="18"/>
        </w:rPr>
      </w:pPr>
    </w:p>
    <w:p w14:paraId="6C7C6C48" w14:textId="438A98CC" w:rsidR="00A76E8F" w:rsidRPr="001F7DCD" w:rsidRDefault="00A76E8F" w:rsidP="00A76E8F">
      <w:pPr>
        <w:spacing w:after="0" w:line="360" w:lineRule="auto"/>
        <w:jc w:val="both"/>
        <w:rPr>
          <w:rFonts w:ascii="Arial" w:eastAsia="Helvetica Neue" w:hAnsi="Arial" w:cs="Arial"/>
          <w:b/>
          <w:bCs/>
          <w:color w:val="0F243E"/>
        </w:rPr>
      </w:pPr>
      <w:r w:rsidRPr="001F7DCD">
        <w:rPr>
          <w:rFonts w:ascii="Arial" w:eastAsia="Helvetica Neue" w:hAnsi="Arial" w:cs="Arial"/>
          <w:b/>
          <w:bCs/>
          <w:color w:val="0F243E"/>
        </w:rPr>
        <w:t>Materials and Methodology</w:t>
      </w:r>
      <w:r w:rsidR="00AC06F6" w:rsidRPr="001F7DCD">
        <w:rPr>
          <w:rFonts w:ascii="Arial" w:eastAsia="Helvetica Neue" w:hAnsi="Arial" w:cs="Arial"/>
          <w:b/>
          <w:bCs/>
          <w:color w:val="0F243E"/>
        </w:rPr>
        <w:t xml:space="preserve"> – </w:t>
      </w:r>
      <w:r w:rsidRPr="001F7DCD">
        <w:rPr>
          <w:rFonts w:ascii="Arial" w:eastAsia="Helvetica Neue" w:hAnsi="Arial" w:cs="Arial"/>
          <w:b/>
          <w:bCs/>
          <w:color w:val="0F243E"/>
        </w:rPr>
        <w:t>Introduction</w:t>
      </w:r>
    </w:p>
    <w:p w14:paraId="7C530289"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The original intention was to make use a 10-point Likert scale (where 10 = strongly agree, 1 = strongly disagree, and 5 = neutral), where the thesis would survey a total of 1,034 former (in-work) human job market candidates across numerous geographies using data gathered through multiple years of global content activity performed by the author. A 10-point Likert scale would have been justified because it is a quantitative and ordinal measure of respondent behaviours, attitudes and opinions. As stated earlier in this </w:t>
      </w:r>
      <w:r w:rsidRPr="00A76E8F">
        <w:rPr>
          <w:rFonts w:ascii="Helvetica Neue" w:eastAsia="Helvetica Neue" w:hAnsi="Helvetica Neue" w:cs="Helvetica Neue"/>
          <w:color w:val="0F243E"/>
          <w:sz w:val="18"/>
          <w:szCs w:val="18"/>
        </w:rPr>
        <w:lastRenderedPageBreak/>
        <w:t>thesis, the purpose of the intended participant survey was primarily to ascertain how each respondent perceives the practice of inclusive interview accommodation and specifically measures the meaning of this to the respondent by using a value scale from 1 to 10. However, due to the magnitude of theory involved in this research, the direction of this study has been restricted by the feasibility of such an approach. Therefore, by using the IMRAD scientific research format, the methodology of the thesis applies guidance from the popular Econometric Analysis (5th Edition) textbook (Greene, 2003: p.403) and prior mathematical inference published in a working paper by the author (Mayaki, 2024) to structure a 2SLS regression estimating the nonlinear value of the expected wage regressed upon education with endogeneity. We mimic the model from the linear case in Mayaki (2024: p.8) which outlines a ‘base case’ Pareto-Nash result excluding productivity types but demonstrating a Taylor series approximation. Firstly, we regress a vector of the ‘expected wage’ fitted data variable E_t, occurring across a new secondary longitudinal set of data (a response to a current salary question) at time t for all respondents.</w:t>
      </w:r>
    </w:p>
    <w:p w14:paraId="06EF238B" w14:textId="77777777" w:rsidR="0044707F" w:rsidRPr="00A76E8F" w:rsidRDefault="0044707F" w:rsidP="00A76E8F">
      <w:pPr>
        <w:spacing w:after="0" w:line="360" w:lineRule="auto"/>
        <w:jc w:val="both"/>
        <w:rPr>
          <w:rFonts w:ascii="Helvetica Neue" w:eastAsia="Helvetica Neue" w:hAnsi="Helvetica Neue" w:cs="Helvetica Neue"/>
          <w:color w:val="0F243E"/>
          <w:sz w:val="18"/>
          <w:szCs w:val="18"/>
        </w:rPr>
      </w:pPr>
    </w:p>
    <w:p w14:paraId="17952FB1" w14:textId="77777777" w:rsidR="00A76E8F" w:rsidRPr="001F7DCD" w:rsidRDefault="00A76E8F" w:rsidP="00A76E8F">
      <w:pPr>
        <w:spacing w:after="0" w:line="360" w:lineRule="auto"/>
        <w:jc w:val="both"/>
        <w:rPr>
          <w:rFonts w:ascii="Arial" w:eastAsia="Helvetica Neue" w:hAnsi="Arial" w:cs="Arial"/>
          <w:b/>
          <w:bCs/>
          <w:color w:val="0F243E"/>
          <w:szCs w:val="24"/>
        </w:rPr>
      </w:pPr>
      <w:r w:rsidRPr="001F7DCD">
        <w:rPr>
          <w:rFonts w:ascii="Arial" w:eastAsia="Helvetica Neue" w:hAnsi="Arial" w:cs="Arial"/>
          <w:b/>
          <w:bCs/>
          <w:color w:val="0F243E"/>
          <w:szCs w:val="24"/>
        </w:rPr>
        <w:t>Research Philosophy</w:t>
      </w:r>
    </w:p>
    <w:p w14:paraId="51535EC2"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Making use of a deductive approach, the narrative review will, unlike a systematic review, focus on the formation of an evidence-based argument using an interpretivist research philosophy. This is juxtaposed to an approach which builds on scientific knowledge by analysing what we might call a wide variety of contributions to a specific field, using a positivist methodology. Later, in the 3rd chapter of this thesis, similar techniques are applied via the use of quantitative methods (a 2SLS regression with an instrumental variable).</w:t>
      </w:r>
    </w:p>
    <w:p w14:paraId="1610BDBB" w14:textId="77777777" w:rsidR="0044707F" w:rsidRPr="00A76E8F" w:rsidRDefault="0044707F" w:rsidP="00A76E8F">
      <w:pPr>
        <w:spacing w:after="0" w:line="360" w:lineRule="auto"/>
        <w:jc w:val="both"/>
        <w:rPr>
          <w:rFonts w:ascii="Helvetica Neue" w:eastAsia="Helvetica Neue" w:hAnsi="Helvetica Neue" w:cs="Helvetica Neue"/>
          <w:color w:val="0F243E"/>
          <w:sz w:val="18"/>
          <w:szCs w:val="18"/>
        </w:rPr>
      </w:pPr>
    </w:p>
    <w:p w14:paraId="066720EE" w14:textId="77777777" w:rsidR="00A76E8F" w:rsidRPr="001F7DCD" w:rsidRDefault="00A76E8F" w:rsidP="00A76E8F">
      <w:pPr>
        <w:spacing w:after="0" w:line="360" w:lineRule="auto"/>
        <w:jc w:val="both"/>
        <w:rPr>
          <w:rFonts w:ascii="Arial" w:eastAsia="Helvetica Neue" w:hAnsi="Arial" w:cs="Arial"/>
          <w:b/>
          <w:bCs/>
          <w:color w:val="0F243E"/>
          <w:szCs w:val="24"/>
        </w:rPr>
      </w:pPr>
      <w:r w:rsidRPr="001F7DCD">
        <w:rPr>
          <w:rFonts w:ascii="Arial" w:eastAsia="Helvetica Neue" w:hAnsi="Arial" w:cs="Arial"/>
          <w:b/>
          <w:bCs/>
          <w:color w:val="0F243E"/>
          <w:szCs w:val="24"/>
        </w:rPr>
        <w:t>Research Approach</w:t>
      </w:r>
    </w:p>
    <w:p w14:paraId="52752C47" w14:textId="020A9549" w:rsidR="002D30CA"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This thesis will now conduct secondary research by focusing on quantitative methods via a 2SLS estimation using cohort data (panel data) from the Office of National Statistics (ONS).</w:t>
      </w:r>
    </w:p>
    <w:p w14:paraId="1C6E021C" w14:textId="77777777" w:rsidR="002D30CA" w:rsidRPr="00A76E8F" w:rsidRDefault="002D30CA" w:rsidP="00A76E8F">
      <w:pPr>
        <w:spacing w:after="0" w:line="360" w:lineRule="auto"/>
        <w:jc w:val="both"/>
        <w:rPr>
          <w:rFonts w:ascii="Helvetica Neue" w:eastAsia="Helvetica Neue" w:hAnsi="Helvetica Neue" w:cs="Helvetica Neue"/>
          <w:color w:val="0F243E"/>
          <w:sz w:val="18"/>
          <w:szCs w:val="18"/>
        </w:rPr>
      </w:pPr>
    </w:p>
    <w:p w14:paraId="4AE74903" w14:textId="797F7C3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This disagreement in wage expectations aligns accordingly with the utility function of the worker discipline device model by Shapiro-Stiglitz, a theory employed in Mayaki (2024) describing how firm F’s cost function and offer strategy (for the linear case i.e. homogenous workers) minimises the likelihood of excessive worker shirking (Shapiro and Stiglitz, 1984) or to a lesser extent, avoidance of pooled workers who may carry a high probability of low productivity levels (Barmby et. al., 1994). Therein lies the core premise of Kamenica-Gentzkow’s (KG) Bayesian persuasion framework (Che et. al., 2022). Table 3.1 (below) demonstrates these variables as one-half of a simultaneous equation, where the problem is always to balance the incentive of the workers with the motivation of the firm in a long-run equilibrium, particularly with the given likelihood of a technology shock. In Table 3.1—which illustrates the second variable in the simultaneous equation—the model assumes that the firm observes (or has full disclosure of) the revealed productivity of current workers. It observes productivity at time (t)\ and negotiates in the following stage. Firm F, then observes the profitability of their business unit and thereafter sets its wage in subsequent\ t+m periods.</w:t>
      </w:r>
    </w:p>
    <w:p w14:paraId="25E8DA9F"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p>
    <w:p w14:paraId="7117DA21" w14:textId="2ACD4A56"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In the 2SLS (Galeotti, et.al., 2025), the first stage (the instrument) identifies a dummy variable (Z) that is correlated with the message signal (the ‘treatment’) but is uncorrelated with the dependent variable’s error term. For example, Z=1 when a firm provides a list of frequently requested adjustments and Z=0 when such a list is not provided, at the preliminary stage of the game. In the 2SLS second stage (the outcome), the study applies the predicted values from the first stage to estimate the impact on the dependent variable E. In terms of variables, it was assumed that one key variable emerged as a primary source in the regression function. The dependent variable E is derived from a secondary source of data. These inferences, in part, form questions which in turn are separate to the research question and are therefore secondary in nature. </w:t>
      </w:r>
    </w:p>
    <w:p w14:paraId="2169326E" w14:textId="77777777" w:rsidR="002D30CA" w:rsidRPr="00A76E8F" w:rsidRDefault="002D30CA" w:rsidP="00A76E8F">
      <w:pPr>
        <w:spacing w:after="0" w:line="360" w:lineRule="auto"/>
        <w:jc w:val="both"/>
        <w:rPr>
          <w:rFonts w:ascii="Helvetica Neue" w:eastAsia="Helvetica Neue" w:hAnsi="Helvetica Neue" w:cs="Helvetica Neue"/>
          <w:color w:val="0F243E"/>
          <w:sz w:val="18"/>
          <w:szCs w:val="18"/>
        </w:rPr>
      </w:pPr>
    </w:p>
    <w:p w14:paraId="56D3FE8F" w14:textId="77777777" w:rsid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The importance of the survey’s applicability should not be understated, because it seeks to enquire into how diverse potential workers perceive their roles in the recruitment process prior to being onboarded as employees (in other words, it asks how workers </w:t>
      </w:r>
      <w:r w:rsidRPr="00A76E8F">
        <w:rPr>
          <w:rFonts w:ascii="Helvetica Neue" w:eastAsia="Helvetica Neue" w:hAnsi="Helvetica Neue" w:cs="Helvetica Neue"/>
          <w:color w:val="0F243E"/>
          <w:sz w:val="18"/>
          <w:szCs w:val="18"/>
        </w:rPr>
        <w:lastRenderedPageBreak/>
        <w:t xml:space="preserve">interact with established incentive structures) through the proxy of possible firm strategies, actions and activities. The seminal applied instance of this research topic is the online ratings and signalling paper pioneered by Chang and Chin (2018) who test evidence to investigate the hypothesis that three things are likely to occur prior to onboarding. Firstly, a high-commitment strategy is pursued and that firms conduct all actions online via a platform. This assumes a finite degree of discretion is made on the part of the firm/sender. Secondly, the firm may initiate a signal to many receivers via a website. This signal communicates a list of reasonable adjustments (interview accommodations) which indicates the firm’s high-commitment strategy. This signal initiates an effect on the employees’ online ratings. </w:t>
      </w:r>
    </w:p>
    <w:p w14:paraId="00B4C704" w14:textId="77777777" w:rsidR="002D30CA" w:rsidRPr="00A76E8F" w:rsidRDefault="002D30CA" w:rsidP="00A76E8F">
      <w:pPr>
        <w:spacing w:after="0" w:line="360" w:lineRule="auto"/>
        <w:jc w:val="both"/>
        <w:rPr>
          <w:rFonts w:ascii="Helvetica Neue" w:eastAsia="Helvetica Neue" w:hAnsi="Helvetica Neue" w:cs="Helvetica Neue"/>
          <w:color w:val="0F243E"/>
          <w:sz w:val="18"/>
          <w:szCs w:val="18"/>
        </w:rPr>
      </w:pPr>
    </w:p>
    <w:p w14:paraId="1DD98D31" w14:textId="77777777" w:rsidR="00A76E8F" w:rsidRPr="001F7DCD" w:rsidRDefault="00A76E8F" w:rsidP="00A76E8F">
      <w:pPr>
        <w:spacing w:after="0" w:line="360" w:lineRule="auto"/>
        <w:jc w:val="both"/>
        <w:rPr>
          <w:rFonts w:ascii="Arial" w:eastAsia="Helvetica Neue" w:hAnsi="Arial" w:cs="Arial"/>
          <w:b/>
          <w:bCs/>
          <w:color w:val="0F243E"/>
          <w:szCs w:val="24"/>
        </w:rPr>
      </w:pPr>
      <w:r w:rsidRPr="001F7DCD">
        <w:rPr>
          <w:rFonts w:ascii="Arial" w:eastAsia="Helvetica Neue" w:hAnsi="Arial" w:cs="Arial"/>
          <w:b/>
          <w:bCs/>
          <w:color w:val="0F243E"/>
          <w:szCs w:val="24"/>
        </w:rPr>
        <w:t>Outlining the Research Hypothesis</w:t>
      </w:r>
    </w:p>
    <w:p w14:paraId="3E0A5117"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The authors (Chang and Chin, 2018) argue for five important hypotheses which form the starting point for this study:</w:t>
      </w:r>
    </w:p>
    <w:p w14:paraId="2CD5B35A"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p>
    <w:p w14:paraId="1D4E4EED"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1: Firms with more high-commitment HRM will signal more HRM information on websites.</w:t>
      </w:r>
    </w:p>
    <w:p w14:paraId="60369BA9"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2: Firms signalling more HRM on websites will see a trend of more applications.</w:t>
      </w:r>
    </w:p>
    <w:p w14:paraId="29FE79C3"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3: Firms’ signalling of HRM fully mediates the effect of commitment HRM on recruitment.</w:t>
      </w:r>
    </w:p>
    <w:p w14:paraId="2291FFBD"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4: Firms’ actual HRM influences employees post-experience outcomes.</w:t>
      </w:r>
    </w:p>
    <w:p w14:paraId="560CBD97"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5: Firms’ signalling of HRM will not increase an employees’ online ratings if the effect of commitment HRM (on recruitment) is controlled.</w:t>
      </w:r>
    </w:p>
    <w:p w14:paraId="41D23215"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p>
    <w:p w14:paraId="37D81C82"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Regarding the hypothesis, this thesis is partly covered by signalling (Spence, 1973) and labour market analysis (Acemoglu, et. al., 2008; Pissarides, 2017). My research will aim to hypothesise concerning a gap in the signalling topic by focusing on peer effects, strategic capabilities, and firm resources, asking a question not currently addressed by the literature on signalling – how do these factors affect competitive advantage? The following hypotheses are subject to supervisory changes and will be honed and amended as and when new information in the literature is discovered, reviewed and adopted. In order, these initial hypotheses are:</w:t>
      </w:r>
    </w:p>
    <w:p w14:paraId="78CA68A3"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p>
    <w:p w14:paraId="081D2503"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1: The average worker views the firm’s intent to accommodate as inclusive.</w:t>
      </w:r>
    </w:p>
    <w:p w14:paraId="612197DD"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 xml:space="preserve">Hypothesis 2: Firms signalling high-commitment HRM practices have happier workers.  </w:t>
      </w:r>
    </w:p>
    <w:p w14:paraId="60CBE6D4"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3: Firms signalling high-commitment HRM strategies tend to be more inclusive.</w:t>
      </w:r>
    </w:p>
    <w:p w14:paraId="0963424A"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ab/>
        <w:t>Hypothesis 4: Firms harnessing the influence of AI can achieve high-commitment and be optimally inclusive.</w:t>
      </w:r>
    </w:p>
    <w:p w14:paraId="3FF2BA3E"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p>
    <w:p w14:paraId="5DDFC08D"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               As stated earlier, the null hypothesis of no correlation holds for the thesis wage utility is correlated with surveyed skill proficiency. As there needs to be two questions so decision-makers can stay ahead of the signal. The first question is in a separating equilibrium with known payoffs, and standard assumptions (complete information and perfect monitoring), how do firms successfully navigate a many-to-one ‘Spencian lottery' nonlinear equilibrium scenario, using the wage utility as an optimal signal? Secondly, but no less integral, one must ask. What is the sub-game Pareto-optimal signal, in a game of separating or pooling equilibrium (Kolotilin, 2024) that a firm should send to all workers in order to be considered inclusive? Finally, with respect to the firm, at what level of signal does a firm who signals acceptance of a health condition, become accepted by skilled workers?</w:t>
      </w:r>
    </w:p>
    <w:p w14:paraId="6BEACDDE" w14:textId="77777777" w:rsidR="00A76E8F" w:rsidRPr="00A76E8F"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Justification for Selecting Topic</w:t>
      </w:r>
    </w:p>
    <w:p w14:paraId="4EA26976" w14:textId="29E8A606" w:rsidR="00C2472A" w:rsidRDefault="00A76E8F" w:rsidP="00A76E8F">
      <w:pPr>
        <w:spacing w:after="0" w:line="360" w:lineRule="auto"/>
        <w:jc w:val="both"/>
        <w:rPr>
          <w:rFonts w:ascii="Helvetica Neue" w:eastAsia="Helvetica Neue" w:hAnsi="Helvetica Neue" w:cs="Helvetica Neue"/>
          <w:color w:val="0F243E"/>
          <w:sz w:val="18"/>
          <w:szCs w:val="18"/>
        </w:rPr>
      </w:pPr>
      <w:r w:rsidRPr="00A76E8F">
        <w:rPr>
          <w:rFonts w:ascii="Helvetica Neue" w:eastAsia="Helvetica Neue" w:hAnsi="Helvetica Neue" w:cs="Helvetica Neue"/>
          <w:color w:val="0F243E"/>
          <w:sz w:val="18"/>
          <w:szCs w:val="18"/>
        </w:rPr>
        <w:t xml:space="preserve">              Now, w.r.t. the selected subtopics, inclusion, signalling and peer effects; sufficient due diligence, care, and careful consideration were each observed when narrowing down a broader topic and selecting signalling as a topic of choice. There is also a need to resolve intertextual reference between the matching function description as found in Mayaki (2024) and its peripheral proposition on Nash bargaining, invoked in retrospect of signalling theory (), albeit in a nuanced and slightly muted manner. Not only is Spence’s signalling game clearly an important canonical work to most if not all the relevant authors in the scope of the 2nd chapter of this thesis but the signalling game serves to answer a question that is very topical in current affairs and geopolitical news </w:t>
      </w:r>
      <w:r w:rsidRPr="00A76E8F">
        <w:rPr>
          <w:rFonts w:ascii="Helvetica Neue" w:eastAsia="Helvetica Neue" w:hAnsi="Helvetica Neue" w:cs="Helvetica Neue"/>
          <w:color w:val="0F243E"/>
          <w:sz w:val="18"/>
          <w:szCs w:val="18"/>
        </w:rPr>
        <w:lastRenderedPageBreak/>
        <w:t>– How will the world of work be recalibrated when the negative impact of technological displacement effects white-collar worker utility?</w:t>
      </w:r>
    </w:p>
    <w:p w14:paraId="09D0D0F3" w14:textId="77777777" w:rsidR="00A76E8F" w:rsidRDefault="00A76E8F">
      <w:pPr>
        <w:spacing w:after="0" w:line="360" w:lineRule="auto"/>
        <w:jc w:val="both"/>
        <w:rPr>
          <w:rFonts w:ascii="Helvetica Neue" w:eastAsia="Helvetica Neue" w:hAnsi="Helvetica Neue" w:cs="Helvetica Neue"/>
          <w:color w:val="0F243E"/>
          <w:sz w:val="18"/>
          <w:szCs w:val="18"/>
        </w:rPr>
      </w:pPr>
    </w:p>
    <w:p w14:paraId="2B282FAD" w14:textId="77777777" w:rsidR="007C2DC1" w:rsidRPr="007B57D5" w:rsidRDefault="007C2DC1" w:rsidP="007C2DC1">
      <w:pPr>
        <w:spacing w:after="0" w:line="360" w:lineRule="auto"/>
        <w:jc w:val="both"/>
        <w:rPr>
          <w:rFonts w:ascii="Arial" w:eastAsia="Helvetica Neue" w:hAnsi="Arial" w:cs="Arial"/>
          <w:b/>
          <w:bCs/>
          <w:color w:val="0F243E"/>
          <w:sz w:val="18"/>
          <w:szCs w:val="18"/>
        </w:rPr>
      </w:pPr>
      <w:r w:rsidRPr="007B57D5">
        <w:rPr>
          <w:rFonts w:ascii="Arial" w:eastAsia="Helvetica Neue" w:hAnsi="Arial" w:cs="Arial"/>
          <w:b/>
          <w:bCs/>
          <w:color w:val="0F243E"/>
        </w:rPr>
        <w:t>Conclusion</w:t>
      </w:r>
    </w:p>
    <w:p w14:paraId="563706BF" w14:textId="6044E59C" w:rsidR="00A76E8F" w:rsidRDefault="007C2DC1" w:rsidP="007C2DC1">
      <w:pPr>
        <w:spacing w:after="0" w:line="360" w:lineRule="auto"/>
        <w:jc w:val="both"/>
        <w:rPr>
          <w:rFonts w:ascii="Helvetica Neue" w:eastAsia="Helvetica Neue" w:hAnsi="Helvetica Neue" w:cs="Helvetica Neue"/>
          <w:color w:val="0F243E"/>
          <w:sz w:val="18"/>
          <w:szCs w:val="18"/>
        </w:rPr>
      </w:pPr>
      <w:r w:rsidRPr="007C2DC1">
        <w:rPr>
          <w:rFonts w:ascii="Helvetica Neue" w:eastAsia="Helvetica Neue" w:hAnsi="Helvetica Neue" w:cs="Helvetica Neue"/>
          <w:color w:val="0F243E"/>
          <w:sz w:val="18"/>
          <w:szCs w:val="18"/>
        </w:rPr>
        <w:t xml:space="preserve">Ultimately, and </w:t>
      </w:r>
      <w:r w:rsidR="00060015">
        <w:rPr>
          <w:rFonts w:ascii="Helvetica Neue" w:eastAsia="Helvetica Neue" w:hAnsi="Helvetica Neue" w:cs="Helvetica Neue"/>
          <w:color w:val="0F243E"/>
          <w:sz w:val="18"/>
          <w:szCs w:val="18"/>
        </w:rPr>
        <w:t xml:space="preserve">for </w:t>
      </w:r>
      <w:r w:rsidRPr="007C2DC1">
        <w:rPr>
          <w:rFonts w:ascii="Helvetica Neue" w:eastAsia="Helvetica Neue" w:hAnsi="Helvetica Neue" w:cs="Helvetica Neue"/>
          <w:color w:val="0F243E"/>
          <w:sz w:val="18"/>
          <w:szCs w:val="18"/>
        </w:rPr>
        <w:t xml:space="preserve">good </w:t>
      </w:r>
      <w:r w:rsidR="00EF6528">
        <w:rPr>
          <w:rFonts w:ascii="Helvetica Neue" w:eastAsia="Helvetica Neue" w:hAnsi="Helvetica Neue" w:cs="Helvetica Neue"/>
          <w:color w:val="0F243E"/>
          <w:sz w:val="18"/>
          <w:szCs w:val="18"/>
        </w:rPr>
        <w:t>cause</w:t>
      </w:r>
      <w:r w:rsidRPr="007C2DC1">
        <w:rPr>
          <w:rFonts w:ascii="Helvetica Neue" w:eastAsia="Helvetica Neue" w:hAnsi="Helvetica Neue" w:cs="Helvetica Neue"/>
          <w:color w:val="0F243E"/>
          <w:sz w:val="18"/>
          <w:szCs w:val="18"/>
        </w:rPr>
        <w:t xml:space="preserve">, we may have </w:t>
      </w:r>
      <w:r w:rsidR="00EF6528">
        <w:rPr>
          <w:rFonts w:ascii="Helvetica Neue" w:eastAsia="Helvetica Neue" w:hAnsi="Helvetica Neue" w:cs="Helvetica Neue"/>
          <w:color w:val="0F243E"/>
          <w:sz w:val="18"/>
          <w:szCs w:val="18"/>
        </w:rPr>
        <w:t>reason</w:t>
      </w:r>
      <w:r w:rsidRPr="007C2DC1">
        <w:rPr>
          <w:rFonts w:ascii="Helvetica Neue" w:eastAsia="Helvetica Neue" w:hAnsi="Helvetica Neue" w:cs="Helvetica Neue"/>
          <w:color w:val="0F243E"/>
          <w:sz w:val="18"/>
          <w:szCs w:val="18"/>
        </w:rPr>
        <w:t xml:space="preserve"> to refactor the relationship between the dynamics of labor supply, consumption, remuneration</w:t>
      </w:r>
      <w:r w:rsidR="00060015">
        <w:rPr>
          <w:rFonts w:ascii="Helvetica Neue" w:eastAsia="Helvetica Neue" w:hAnsi="Helvetica Neue" w:cs="Helvetica Neue"/>
          <w:color w:val="0F243E"/>
          <w:sz w:val="18"/>
          <w:szCs w:val="18"/>
        </w:rPr>
        <w:t xml:space="preserve">, </w:t>
      </w:r>
      <w:r w:rsidRPr="007C2DC1">
        <w:rPr>
          <w:rFonts w:ascii="Helvetica Neue" w:eastAsia="Helvetica Neue" w:hAnsi="Helvetica Neue" w:cs="Helvetica Neue"/>
          <w:color w:val="0F243E"/>
          <w:sz w:val="18"/>
          <w:szCs w:val="18"/>
        </w:rPr>
        <w:t>and the way in which work is distributed amongst different stratospheres of the social system.</w:t>
      </w:r>
    </w:p>
    <w:p w14:paraId="6F954183" w14:textId="77777777" w:rsidR="00A76E8F" w:rsidRDefault="00A76E8F">
      <w:pPr>
        <w:spacing w:after="0" w:line="360" w:lineRule="auto"/>
        <w:jc w:val="both"/>
        <w:rPr>
          <w:rFonts w:ascii="Helvetica Neue" w:eastAsia="Helvetica Neue" w:hAnsi="Helvetica Neue" w:cs="Helvetica Neue"/>
          <w:color w:val="0F243E"/>
          <w:sz w:val="18"/>
          <w:szCs w:val="18"/>
        </w:rPr>
      </w:pPr>
    </w:p>
    <w:p w14:paraId="15C8F528" w14:textId="77777777" w:rsidR="00A76E8F" w:rsidRDefault="00A76E8F">
      <w:pPr>
        <w:spacing w:after="0" w:line="360" w:lineRule="auto"/>
        <w:jc w:val="both"/>
        <w:rPr>
          <w:rFonts w:ascii="Helvetica Neue" w:eastAsia="Helvetica Neue" w:hAnsi="Helvetica Neue" w:cs="Helvetica Neue"/>
          <w:color w:val="0F243E"/>
          <w:sz w:val="18"/>
          <w:szCs w:val="18"/>
        </w:rPr>
      </w:pPr>
    </w:p>
    <w:p w14:paraId="7C572997" w14:textId="77777777" w:rsidR="00A76E8F" w:rsidRDefault="00A76E8F">
      <w:pPr>
        <w:spacing w:after="0" w:line="360" w:lineRule="auto"/>
        <w:jc w:val="both"/>
        <w:rPr>
          <w:rFonts w:ascii="Helvetica Neue" w:eastAsia="Helvetica Neue" w:hAnsi="Helvetica Neue" w:cs="Helvetica Neue"/>
          <w:color w:val="0F243E"/>
          <w:sz w:val="18"/>
          <w:szCs w:val="18"/>
        </w:rPr>
      </w:pPr>
    </w:p>
    <w:p w14:paraId="50FCA63C" w14:textId="77777777" w:rsidR="00A76E8F" w:rsidRDefault="00A76E8F">
      <w:pPr>
        <w:spacing w:after="0" w:line="360" w:lineRule="auto"/>
        <w:jc w:val="both"/>
        <w:rPr>
          <w:rFonts w:ascii="Helvetica Neue" w:eastAsia="Helvetica Neue" w:hAnsi="Helvetica Neue" w:cs="Helvetica Neue"/>
          <w:color w:val="0F243E"/>
          <w:sz w:val="18"/>
          <w:szCs w:val="18"/>
        </w:rPr>
      </w:pPr>
    </w:p>
    <w:p w14:paraId="265256BE" w14:textId="77777777" w:rsidR="00A76E8F" w:rsidRDefault="00A76E8F">
      <w:pPr>
        <w:spacing w:after="0" w:line="360" w:lineRule="auto"/>
        <w:jc w:val="both"/>
        <w:rPr>
          <w:rFonts w:ascii="Helvetica Neue" w:eastAsia="Helvetica Neue" w:hAnsi="Helvetica Neue" w:cs="Helvetica Neue"/>
          <w:color w:val="0F243E"/>
          <w:sz w:val="18"/>
          <w:szCs w:val="18"/>
        </w:rPr>
      </w:pPr>
    </w:p>
    <w:p w14:paraId="23ABB50A" w14:textId="77777777" w:rsidR="00A76E8F" w:rsidRDefault="00A76E8F">
      <w:pPr>
        <w:spacing w:after="0" w:line="360" w:lineRule="auto"/>
        <w:jc w:val="both"/>
        <w:rPr>
          <w:rFonts w:ascii="Helvetica Neue" w:eastAsia="Helvetica Neue" w:hAnsi="Helvetica Neue" w:cs="Helvetica Neue"/>
          <w:color w:val="0F243E"/>
          <w:sz w:val="18"/>
          <w:szCs w:val="18"/>
        </w:rPr>
      </w:pPr>
    </w:p>
    <w:p w14:paraId="5F1AA6DD" w14:textId="77777777" w:rsidR="00A76E8F" w:rsidRDefault="00A76E8F">
      <w:pPr>
        <w:spacing w:after="0" w:line="360" w:lineRule="auto"/>
        <w:jc w:val="both"/>
        <w:rPr>
          <w:rFonts w:ascii="Helvetica Neue" w:eastAsia="Helvetica Neue" w:hAnsi="Helvetica Neue" w:cs="Helvetica Neue"/>
          <w:color w:val="0F243E"/>
          <w:sz w:val="18"/>
          <w:szCs w:val="18"/>
        </w:rPr>
      </w:pPr>
    </w:p>
    <w:p w14:paraId="037BC3DB" w14:textId="77777777" w:rsidR="00A76E8F" w:rsidRDefault="00A76E8F">
      <w:pPr>
        <w:spacing w:after="0" w:line="360" w:lineRule="auto"/>
        <w:jc w:val="both"/>
        <w:rPr>
          <w:rFonts w:ascii="Helvetica Neue" w:eastAsia="Helvetica Neue" w:hAnsi="Helvetica Neue" w:cs="Helvetica Neue"/>
          <w:color w:val="0F243E"/>
          <w:sz w:val="18"/>
          <w:szCs w:val="18"/>
        </w:rPr>
      </w:pPr>
    </w:p>
    <w:p w14:paraId="55C32811" w14:textId="77777777" w:rsidR="00A76E8F" w:rsidRDefault="00A76E8F">
      <w:pPr>
        <w:spacing w:after="0" w:line="360" w:lineRule="auto"/>
        <w:jc w:val="both"/>
        <w:rPr>
          <w:rFonts w:ascii="Helvetica Neue" w:eastAsia="Helvetica Neue" w:hAnsi="Helvetica Neue" w:cs="Helvetica Neue"/>
          <w:color w:val="0F243E"/>
          <w:sz w:val="18"/>
          <w:szCs w:val="18"/>
        </w:rPr>
      </w:pPr>
    </w:p>
    <w:p w14:paraId="7F321717" w14:textId="77777777" w:rsidR="00A76E8F" w:rsidRDefault="00A76E8F">
      <w:pPr>
        <w:spacing w:after="0" w:line="360" w:lineRule="auto"/>
        <w:jc w:val="both"/>
        <w:rPr>
          <w:rFonts w:ascii="Helvetica Neue" w:eastAsia="Helvetica Neue" w:hAnsi="Helvetica Neue" w:cs="Helvetica Neue"/>
          <w:color w:val="0F243E"/>
          <w:sz w:val="18"/>
          <w:szCs w:val="18"/>
        </w:rPr>
      </w:pPr>
    </w:p>
    <w:p w14:paraId="63C6D3BA" w14:textId="77777777" w:rsidR="00A76E8F" w:rsidRDefault="00A76E8F">
      <w:pPr>
        <w:spacing w:after="0" w:line="360" w:lineRule="auto"/>
        <w:jc w:val="both"/>
        <w:rPr>
          <w:rFonts w:ascii="Helvetica Neue" w:eastAsia="Helvetica Neue" w:hAnsi="Helvetica Neue" w:cs="Helvetica Neue"/>
          <w:color w:val="0F243E"/>
          <w:sz w:val="18"/>
          <w:szCs w:val="18"/>
        </w:rPr>
      </w:pPr>
    </w:p>
    <w:p w14:paraId="132F0316" w14:textId="77777777" w:rsidR="00A76E8F" w:rsidRDefault="00A76E8F">
      <w:pPr>
        <w:spacing w:after="0" w:line="360" w:lineRule="auto"/>
        <w:jc w:val="both"/>
        <w:rPr>
          <w:rFonts w:ascii="Helvetica Neue" w:eastAsia="Helvetica Neue" w:hAnsi="Helvetica Neue" w:cs="Helvetica Neue"/>
          <w:color w:val="0F243E"/>
          <w:sz w:val="18"/>
          <w:szCs w:val="18"/>
        </w:rPr>
      </w:pPr>
    </w:p>
    <w:p w14:paraId="5253267B" w14:textId="77777777" w:rsidR="00A76E8F" w:rsidRDefault="00A76E8F">
      <w:pPr>
        <w:spacing w:after="0" w:line="360" w:lineRule="auto"/>
        <w:jc w:val="both"/>
        <w:rPr>
          <w:rFonts w:ascii="Helvetica Neue" w:eastAsia="Helvetica Neue" w:hAnsi="Helvetica Neue" w:cs="Helvetica Neue"/>
          <w:color w:val="0F243E"/>
          <w:sz w:val="18"/>
          <w:szCs w:val="18"/>
        </w:rPr>
      </w:pPr>
    </w:p>
    <w:p w14:paraId="7A990371" w14:textId="77777777" w:rsidR="00A76E8F" w:rsidRDefault="00A76E8F">
      <w:pPr>
        <w:spacing w:after="0" w:line="360" w:lineRule="auto"/>
        <w:jc w:val="both"/>
        <w:rPr>
          <w:rFonts w:ascii="Helvetica Neue" w:eastAsia="Helvetica Neue" w:hAnsi="Helvetica Neue" w:cs="Helvetica Neue"/>
          <w:color w:val="0F243E"/>
          <w:sz w:val="18"/>
          <w:szCs w:val="18"/>
        </w:rPr>
      </w:pPr>
    </w:p>
    <w:p w14:paraId="5E268DA3" w14:textId="77777777" w:rsidR="00A76E8F" w:rsidRDefault="00A76E8F">
      <w:pPr>
        <w:spacing w:after="0" w:line="360" w:lineRule="auto"/>
        <w:jc w:val="both"/>
        <w:rPr>
          <w:rFonts w:ascii="Helvetica Neue" w:eastAsia="Helvetica Neue" w:hAnsi="Helvetica Neue" w:cs="Helvetica Neue"/>
          <w:color w:val="0F243E"/>
          <w:sz w:val="18"/>
          <w:szCs w:val="18"/>
        </w:rPr>
      </w:pPr>
    </w:p>
    <w:p w14:paraId="15730B68" w14:textId="77777777" w:rsidR="00A76E8F" w:rsidRDefault="00A76E8F">
      <w:pPr>
        <w:spacing w:after="0" w:line="360" w:lineRule="auto"/>
        <w:jc w:val="both"/>
        <w:rPr>
          <w:rFonts w:ascii="Helvetica Neue" w:eastAsia="Helvetica Neue" w:hAnsi="Helvetica Neue" w:cs="Helvetica Neue"/>
          <w:color w:val="0F243E"/>
          <w:sz w:val="18"/>
          <w:szCs w:val="18"/>
        </w:rPr>
      </w:pPr>
    </w:p>
    <w:p w14:paraId="25AB1ADD" w14:textId="77777777" w:rsidR="00A76E8F" w:rsidRDefault="00A76E8F">
      <w:pPr>
        <w:spacing w:after="0" w:line="360" w:lineRule="auto"/>
        <w:jc w:val="both"/>
        <w:rPr>
          <w:rFonts w:ascii="Helvetica Neue" w:eastAsia="Helvetica Neue" w:hAnsi="Helvetica Neue" w:cs="Helvetica Neue"/>
          <w:color w:val="0F243E"/>
          <w:sz w:val="18"/>
          <w:szCs w:val="18"/>
        </w:rPr>
      </w:pPr>
    </w:p>
    <w:p w14:paraId="13E85B4F" w14:textId="77777777" w:rsidR="00A76E8F" w:rsidRDefault="00A76E8F">
      <w:pPr>
        <w:spacing w:after="0" w:line="360" w:lineRule="auto"/>
        <w:jc w:val="both"/>
        <w:rPr>
          <w:rFonts w:ascii="Helvetica Neue" w:eastAsia="Helvetica Neue" w:hAnsi="Helvetica Neue" w:cs="Helvetica Neue"/>
          <w:color w:val="0F243E"/>
          <w:sz w:val="18"/>
          <w:szCs w:val="18"/>
        </w:rPr>
      </w:pPr>
    </w:p>
    <w:p w14:paraId="2820F025" w14:textId="77777777" w:rsidR="00A76E8F" w:rsidRDefault="00A76E8F">
      <w:pPr>
        <w:spacing w:after="0" w:line="360" w:lineRule="auto"/>
        <w:jc w:val="both"/>
        <w:rPr>
          <w:rFonts w:ascii="Helvetica Neue" w:eastAsia="Helvetica Neue" w:hAnsi="Helvetica Neue" w:cs="Helvetica Neue"/>
          <w:color w:val="0F243E"/>
          <w:sz w:val="18"/>
          <w:szCs w:val="18"/>
        </w:rPr>
      </w:pPr>
    </w:p>
    <w:p w14:paraId="0A5E700B" w14:textId="77777777" w:rsidR="00A76E8F" w:rsidRDefault="00A76E8F">
      <w:pPr>
        <w:spacing w:after="0" w:line="360" w:lineRule="auto"/>
        <w:jc w:val="both"/>
        <w:rPr>
          <w:rFonts w:ascii="Helvetica Neue" w:eastAsia="Helvetica Neue" w:hAnsi="Helvetica Neue" w:cs="Helvetica Neue"/>
          <w:color w:val="0F243E"/>
          <w:sz w:val="18"/>
          <w:szCs w:val="18"/>
        </w:rPr>
      </w:pPr>
    </w:p>
    <w:p w14:paraId="47B4B127" w14:textId="77777777" w:rsidR="00C2472A" w:rsidRDefault="00C2472A">
      <w:pPr>
        <w:spacing w:after="0" w:line="360" w:lineRule="auto"/>
        <w:jc w:val="both"/>
        <w:rPr>
          <w:rFonts w:ascii="Helvetica Neue" w:eastAsia="Helvetica Neue" w:hAnsi="Helvetica Neue" w:cs="Helvetica Neue"/>
          <w:color w:val="0F243E"/>
          <w:sz w:val="18"/>
          <w:szCs w:val="18"/>
        </w:rPr>
      </w:pPr>
    </w:p>
    <w:p w14:paraId="2CA95C8F" w14:textId="77777777" w:rsidR="0044707F" w:rsidRDefault="0044707F">
      <w:pPr>
        <w:spacing w:after="0" w:line="360" w:lineRule="auto"/>
        <w:jc w:val="both"/>
        <w:rPr>
          <w:rFonts w:ascii="Helvetica Neue" w:eastAsia="Helvetica Neue" w:hAnsi="Helvetica Neue" w:cs="Helvetica Neue"/>
          <w:color w:val="0F243E"/>
          <w:sz w:val="18"/>
          <w:szCs w:val="18"/>
        </w:rPr>
      </w:pPr>
    </w:p>
    <w:p w14:paraId="471D2B73" w14:textId="77777777" w:rsidR="0044707F" w:rsidRDefault="0044707F">
      <w:pPr>
        <w:spacing w:after="0" w:line="360" w:lineRule="auto"/>
        <w:jc w:val="both"/>
        <w:rPr>
          <w:rFonts w:ascii="Helvetica Neue" w:eastAsia="Helvetica Neue" w:hAnsi="Helvetica Neue" w:cs="Helvetica Neue"/>
          <w:color w:val="0F243E"/>
          <w:sz w:val="18"/>
          <w:szCs w:val="18"/>
        </w:rPr>
      </w:pPr>
    </w:p>
    <w:p w14:paraId="5E15773E" w14:textId="77777777" w:rsidR="0044707F" w:rsidRDefault="0044707F">
      <w:pPr>
        <w:spacing w:after="0" w:line="360" w:lineRule="auto"/>
        <w:jc w:val="both"/>
        <w:rPr>
          <w:rFonts w:ascii="Helvetica Neue" w:eastAsia="Helvetica Neue" w:hAnsi="Helvetica Neue" w:cs="Helvetica Neue"/>
          <w:color w:val="0F243E"/>
          <w:sz w:val="18"/>
          <w:szCs w:val="18"/>
        </w:rPr>
      </w:pPr>
    </w:p>
    <w:p w14:paraId="6E8E6DFD" w14:textId="77777777" w:rsidR="002D30CA" w:rsidRDefault="002D30CA">
      <w:pPr>
        <w:spacing w:after="0" w:line="360" w:lineRule="auto"/>
        <w:jc w:val="both"/>
        <w:rPr>
          <w:rFonts w:ascii="Helvetica Neue" w:eastAsia="Helvetica Neue" w:hAnsi="Helvetica Neue" w:cs="Helvetica Neue"/>
          <w:color w:val="0F243E"/>
          <w:sz w:val="18"/>
          <w:szCs w:val="18"/>
        </w:rPr>
      </w:pPr>
    </w:p>
    <w:p w14:paraId="4E689198" w14:textId="77777777" w:rsidR="002D30CA" w:rsidRDefault="002D30CA">
      <w:pPr>
        <w:spacing w:after="0" w:line="360" w:lineRule="auto"/>
        <w:jc w:val="both"/>
        <w:rPr>
          <w:rFonts w:ascii="Helvetica Neue" w:eastAsia="Helvetica Neue" w:hAnsi="Helvetica Neue" w:cs="Helvetica Neue"/>
          <w:color w:val="0F243E"/>
          <w:sz w:val="18"/>
          <w:szCs w:val="18"/>
        </w:rPr>
      </w:pPr>
    </w:p>
    <w:p w14:paraId="35776B51" w14:textId="77777777" w:rsidR="002D30CA" w:rsidRDefault="002D30CA">
      <w:pPr>
        <w:spacing w:after="0" w:line="360" w:lineRule="auto"/>
        <w:jc w:val="both"/>
        <w:rPr>
          <w:rFonts w:ascii="Helvetica Neue" w:eastAsia="Helvetica Neue" w:hAnsi="Helvetica Neue" w:cs="Helvetica Neue"/>
          <w:color w:val="0F243E"/>
          <w:sz w:val="18"/>
          <w:szCs w:val="18"/>
        </w:rPr>
      </w:pPr>
    </w:p>
    <w:p w14:paraId="21DCD57D" w14:textId="77777777" w:rsidR="002D30CA" w:rsidRDefault="002D30CA">
      <w:pPr>
        <w:spacing w:after="0" w:line="360" w:lineRule="auto"/>
        <w:jc w:val="both"/>
        <w:rPr>
          <w:rFonts w:ascii="Helvetica Neue" w:eastAsia="Helvetica Neue" w:hAnsi="Helvetica Neue" w:cs="Helvetica Neue"/>
          <w:color w:val="0F243E"/>
          <w:sz w:val="18"/>
          <w:szCs w:val="18"/>
        </w:rPr>
      </w:pPr>
    </w:p>
    <w:p w14:paraId="2FB96DC7" w14:textId="77777777" w:rsidR="002D30CA" w:rsidRDefault="002D30CA">
      <w:pPr>
        <w:spacing w:after="0" w:line="360" w:lineRule="auto"/>
        <w:jc w:val="both"/>
        <w:rPr>
          <w:rFonts w:ascii="Helvetica Neue" w:eastAsia="Helvetica Neue" w:hAnsi="Helvetica Neue" w:cs="Helvetica Neue"/>
          <w:color w:val="0F243E"/>
          <w:sz w:val="18"/>
          <w:szCs w:val="18"/>
        </w:rPr>
      </w:pPr>
    </w:p>
    <w:p w14:paraId="3CF26DE0" w14:textId="77777777" w:rsidR="0044707F" w:rsidRDefault="0044707F">
      <w:pPr>
        <w:spacing w:after="0" w:line="360" w:lineRule="auto"/>
        <w:jc w:val="both"/>
        <w:rPr>
          <w:rFonts w:ascii="Helvetica Neue" w:eastAsia="Helvetica Neue" w:hAnsi="Helvetica Neue" w:cs="Helvetica Neue"/>
          <w:color w:val="0F243E"/>
          <w:sz w:val="18"/>
          <w:szCs w:val="18"/>
        </w:rPr>
      </w:pPr>
    </w:p>
    <w:p w14:paraId="7E55701A" w14:textId="77777777" w:rsidR="002D30CA" w:rsidRDefault="002D30CA">
      <w:pPr>
        <w:spacing w:after="0" w:line="360" w:lineRule="auto"/>
        <w:jc w:val="both"/>
        <w:rPr>
          <w:rFonts w:ascii="Helvetica Neue" w:eastAsia="Helvetica Neue" w:hAnsi="Helvetica Neue" w:cs="Helvetica Neue"/>
          <w:color w:val="0F243E"/>
          <w:sz w:val="18"/>
          <w:szCs w:val="18"/>
        </w:rPr>
      </w:pPr>
    </w:p>
    <w:p w14:paraId="442BF429" w14:textId="77777777" w:rsidR="002D30CA" w:rsidRDefault="002D30CA">
      <w:pPr>
        <w:spacing w:after="0" w:line="360" w:lineRule="auto"/>
        <w:jc w:val="both"/>
        <w:rPr>
          <w:rFonts w:ascii="Helvetica Neue" w:eastAsia="Helvetica Neue" w:hAnsi="Helvetica Neue" w:cs="Helvetica Neue"/>
          <w:color w:val="0F243E"/>
          <w:sz w:val="18"/>
          <w:szCs w:val="18"/>
        </w:rPr>
      </w:pPr>
    </w:p>
    <w:p w14:paraId="46840DD3" w14:textId="77777777" w:rsidR="002D30CA" w:rsidRDefault="002D30CA">
      <w:pPr>
        <w:spacing w:after="0" w:line="360" w:lineRule="auto"/>
        <w:jc w:val="both"/>
        <w:rPr>
          <w:rFonts w:ascii="Helvetica Neue" w:eastAsia="Helvetica Neue" w:hAnsi="Helvetica Neue" w:cs="Helvetica Neue"/>
          <w:color w:val="0F243E"/>
          <w:sz w:val="18"/>
          <w:szCs w:val="18"/>
        </w:rPr>
      </w:pPr>
    </w:p>
    <w:p w14:paraId="23305702" w14:textId="77777777" w:rsidR="002D30CA" w:rsidRDefault="002D30CA">
      <w:pPr>
        <w:spacing w:after="0" w:line="360" w:lineRule="auto"/>
        <w:jc w:val="both"/>
        <w:rPr>
          <w:rFonts w:ascii="Helvetica Neue" w:eastAsia="Helvetica Neue" w:hAnsi="Helvetica Neue" w:cs="Helvetica Neue"/>
          <w:color w:val="0F243E"/>
          <w:sz w:val="18"/>
          <w:szCs w:val="18"/>
        </w:rPr>
      </w:pPr>
    </w:p>
    <w:p w14:paraId="17D481DE" w14:textId="77777777" w:rsidR="002D30CA" w:rsidRDefault="002D30CA">
      <w:pPr>
        <w:spacing w:after="0" w:line="360" w:lineRule="auto"/>
        <w:jc w:val="both"/>
        <w:rPr>
          <w:rFonts w:ascii="Helvetica Neue" w:eastAsia="Helvetica Neue" w:hAnsi="Helvetica Neue" w:cs="Helvetica Neue"/>
          <w:color w:val="0F243E"/>
          <w:sz w:val="18"/>
          <w:szCs w:val="18"/>
        </w:rPr>
      </w:pPr>
    </w:p>
    <w:p w14:paraId="254662D3" w14:textId="77777777" w:rsidR="002D30CA" w:rsidRDefault="002D30CA">
      <w:pPr>
        <w:spacing w:after="0" w:line="360" w:lineRule="auto"/>
        <w:jc w:val="both"/>
        <w:rPr>
          <w:rFonts w:ascii="Helvetica Neue" w:eastAsia="Helvetica Neue" w:hAnsi="Helvetica Neue" w:cs="Helvetica Neue"/>
          <w:color w:val="0F243E"/>
          <w:sz w:val="18"/>
          <w:szCs w:val="18"/>
        </w:rPr>
      </w:pPr>
    </w:p>
    <w:p w14:paraId="6B416E20" w14:textId="77777777" w:rsidR="002D30CA" w:rsidRDefault="002D30CA">
      <w:pPr>
        <w:spacing w:after="0" w:line="360" w:lineRule="auto"/>
        <w:jc w:val="both"/>
        <w:rPr>
          <w:rFonts w:ascii="Helvetica Neue" w:eastAsia="Helvetica Neue" w:hAnsi="Helvetica Neue" w:cs="Helvetica Neue"/>
          <w:color w:val="0F243E"/>
          <w:sz w:val="18"/>
          <w:szCs w:val="18"/>
        </w:rPr>
      </w:pPr>
    </w:p>
    <w:p w14:paraId="4A88EE01" w14:textId="77777777" w:rsidR="00DD0FDE" w:rsidRDefault="00DD0FDE">
      <w:pPr>
        <w:spacing w:after="0" w:line="360" w:lineRule="auto"/>
        <w:jc w:val="both"/>
        <w:rPr>
          <w:rFonts w:ascii="Helvetica Neue" w:eastAsia="Helvetica Neue" w:hAnsi="Helvetica Neue" w:cs="Helvetica Neue"/>
          <w:color w:val="0F243E"/>
          <w:sz w:val="18"/>
          <w:szCs w:val="18"/>
        </w:rPr>
      </w:pPr>
    </w:p>
    <w:p w14:paraId="0AC4890D" w14:textId="77777777" w:rsidR="00DD0FDE" w:rsidRDefault="00DD0FDE">
      <w:pPr>
        <w:spacing w:after="0" w:line="360" w:lineRule="auto"/>
        <w:jc w:val="both"/>
        <w:rPr>
          <w:rFonts w:ascii="Helvetica Neue" w:eastAsia="Helvetica Neue" w:hAnsi="Helvetica Neue" w:cs="Helvetica Neue"/>
          <w:color w:val="0F243E"/>
          <w:sz w:val="18"/>
          <w:szCs w:val="18"/>
        </w:rPr>
      </w:pPr>
    </w:p>
    <w:p w14:paraId="0E82EACE" w14:textId="77777777" w:rsidR="001F7DCD" w:rsidRDefault="001F7DCD">
      <w:pPr>
        <w:spacing w:after="0" w:line="360" w:lineRule="auto"/>
        <w:jc w:val="both"/>
        <w:rPr>
          <w:rFonts w:ascii="Helvetica Neue" w:eastAsia="Helvetica Neue" w:hAnsi="Helvetica Neue" w:cs="Helvetica Neue"/>
          <w:color w:val="0F243E"/>
          <w:sz w:val="18"/>
          <w:szCs w:val="18"/>
        </w:rPr>
      </w:pPr>
    </w:p>
    <w:p w14:paraId="2E992F31" w14:textId="4945CA8F" w:rsidR="0044707F" w:rsidRPr="001F7DCD" w:rsidRDefault="00AD5B53" w:rsidP="0044707F">
      <w:pPr>
        <w:jc w:val="both"/>
        <w:rPr>
          <w:rFonts w:ascii="Arial" w:eastAsia="Helvetica Neue" w:hAnsi="Arial" w:cs="Arial"/>
          <w:b/>
          <w:color w:val="0F243E"/>
          <w:sz w:val="14"/>
          <w:szCs w:val="14"/>
        </w:rPr>
      </w:pPr>
      <w:r w:rsidRPr="001F7DCD">
        <w:rPr>
          <w:rFonts w:ascii="Arial" w:eastAsia="Helvetica Neue" w:hAnsi="Arial" w:cs="Arial"/>
          <w:b/>
          <w:color w:val="0F243E"/>
        </w:rPr>
        <w:t>References</w:t>
      </w:r>
    </w:p>
    <w:p w14:paraId="29013094" w14:textId="3EB01B66"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Acemoglu, D., Kremer, M., and Mian, A. (2008). ‘Incentives in markets, firms, and governments’, The Journal of Law, Economics, &amp; Organization, 24(2), 273-306.</w:t>
      </w:r>
    </w:p>
    <w:p w14:paraId="0946C984" w14:textId="627C85DD"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Anderson, J., and Markides, C. (2007). Strategic innovation at the base of the pyramid. MIT Sloan management review.</w:t>
      </w:r>
    </w:p>
    <w:p w14:paraId="10912767"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Bafera, J., and Kleinert, S. (2023). Signaling Theory in Entrepreneurship Research: A Systematic Review and Research Agenda. Entrepreneurship Theory and Practice, 47(6), 2419-2464.</w:t>
      </w:r>
    </w:p>
    <w:p w14:paraId="2BA15803"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Barmby, T., Sessions, J., and Treble, J. (1994). ‘Absenteeism, Efficiency Wages and Shirking’, The Scandinavian Journal of Economics, 96(4), pp. 561–566.</w:t>
      </w:r>
    </w:p>
    <w:p w14:paraId="67BA2A67"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Barney, J. (1991). ‘Firm resources and sustained competitive advantage’, Journal of Management, 17(1), 99.</w:t>
      </w:r>
    </w:p>
    <w:p w14:paraId="6BF99DE9"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Blandin, A., Boyd, J.H., and Prescott. E.C. (2015). ‘Equilibrium with Mutual Organizations in Adverse Selection Economies’, Federal Reserve Bank of Minneapolis, Research Department Working Paper 717</w:t>
      </w:r>
    </w:p>
    <w:p w14:paraId="622BF472"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Blume, A., and Ortmann, A. (2007). ‘The effects of costless pre-play communication: Experimental evidence from games with Pareto-ranked equilibria’. Journal of Economic Theory, 132(1), 274-290.</w:t>
      </w:r>
    </w:p>
    <w:p w14:paraId="4B4D9C8B"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Celani, A., and Singh, P. (2011), "Signaling theory and applicant attraction outcomes". Personnel Review, 40(2), pp. 222–238</w:t>
      </w:r>
    </w:p>
    <w:p w14:paraId="7B7B663F"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Chang, E., and Chin, H. (2018). Signaling or experiencing: Commitment HRM effects on recruitment and employees’ online ratings. Journal of Business Research, 84, 175-185.</w:t>
      </w:r>
    </w:p>
    <w:p w14:paraId="480E725A"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Che, Y.K., Kim, K., and Mierendorff, K. (2022) ‘Keeping the Listener Engaged: a Dynamic Model of Bayesian Persuasion’, arXiv e-print</w:t>
      </w:r>
    </w:p>
    <w:p w14:paraId="6D45BD16"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Chen, W. (2019) ‘Income and Effort: An Instrumental Variables Approach’ Atlantic Economic Journal, 47, pp. 485-497</w:t>
      </w:r>
    </w:p>
    <w:p w14:paraId="2773DF64"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Densley, J.A. (2012). Street Gang Recruitment: Signaling, Screening, and Selection. Social Problems, 59(3), 301–321</w:t>
      </w:r>
    </w:p>
    <w:p w14:paraId="234DD679"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Edwards, J. (1987) ‘Recent Developments in the Theory of Corporate Finance’, Oxford Review of Economic Policy, 3(4)</w:t>
      </w:r>
    </w:p>
    <w:p w14:paraId="7C299CF2"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Feld, J. and Zölitz, U. (2017) ‘Understanding Peer Effects’, Journal of Labor Economics, 35(2), 387-428</w:t>
      </w:r>
    </w:p>
    <w:p w14:paraId="6376EA92"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Galdin, A., and Silbert, J. (2025). ‘Making Talk Cheap: Generative AI and Labor Market Signaling’. arXiv preprint arXiv:2511.08785</w:t>
      </w:r>
    </w:p>
    <w:p w14:paraId="6411CA37"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 xml:space="preserve">Galeotti, A., Goyal, S., Jackson, M. O., Vega-Redondo, F., and Yariv, L. (2009). ‘Network Games’, Review of Economic Studies, 77(1), 218-244. </w:t>
      </w:r>
    </w:p>
    <w:p w14:paraId="19877E65"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Galeotti, A., Abraham, D., and Szeidl, A. (2025) ’Peer Effects in Entrepreneurship’, LBS Working Paper</w:t>
      </w:r>
    </w:p>
    <w:p w14:paraId="7E089712"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Gentzkow, M. and Kamenica, E. (2011). Bayesian Persuasion. The American Economic Review, 101(6), 2590–2615.</w:t>
      </w:r>
    </w:p>
    <w:p w14:paraId="2A987817"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Gentzkow, M. and Kamenica, E. (2016) “A Rothschild-Stiglitz Approach to Bayesian Persuasion,” The American economic review, 106(5), pp. 597–601.</w:t>
      </w:r>
    </w:p>
    <w:p w14:paraId="3643C939"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Greene, W.H. (2003) Econometric analysis. 5th ed. International ed. Upper Saddle River, N.J: Prentice Hall.</w:t>
      </w:r>
    </w:p>
    <w:p w14:paraId="618B5264"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Imbens, G. W. (2014). Instrumental Variables: An Econometrician’s Perspective. Statistical Science, 29(3), 323–358.</w:t>
      </w:r>
    </w:p>
    <w:p w14:paraId="38E4B97E"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Khan, M. H., Grabarski, M. K., Ali, M., and Buckmaster, S. (2023). Insights into Creating and Managing an Inclusive Neurodiverse Workplace for Positive Outcomes: A Multistage Theoretical Framework. Group &amp; Organization Management, 48(5), 1339-1386.</w:t>
      </w:r>
    </w:p>
    <w:p w14:paraId="39ACF795"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Kolotilin, A. (2015). Experimental design to persuade. Games and Economic Behavior, 90, 215-226.</w:t>
      </w:r>
    </w:p>
    <w:p w14:paraId="3BA2DCAE"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Kolotilin, A. and Li, H., and Zapechelnyuk, A. (2024). ‘On Monotone Persuasion’, Discussion Papers 2024-05, School of Economics, The University of New South Wales.</w:t>
      </w:r>
    </w:p>
    <w:p w14:paraId="71F8D8F9"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Kolotilin, A., Corrao, R., and Wolittzky, A. (2025). ‘Persuasion and Matching: Optimal Productive Transport’, Journal of Political Economy, 115(4), 1334-1381</w:t>
      </w:r>
    </w:p>
    <w:p w14:paraId="72A8B985"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lastRenderedPageBreak/>
        <w:t>Lado, A. A., and Wilson, M. C. (1994). ‘Human resource systems and sustained competitive advantage: A competency-based perspective’. Academy of Management.the Academy of Management Review, 19(4), 699.</w:t>
      </w:r>
    </w:p>
    <w:p w14:paraId="4DE22744"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Laker, B. et. al. (2025) ‘To Change Company Culture, Focus on Systems—Not Communication’, Harvard Business Review,</w:t>
      </w:r>
    </w:p>
    <w:p w14:paraId="78093098"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Lambotte, M. (2025), Peer Effects in Binary Outcomes: Strategic Complementarity and Taste for Conformity With Endogenous Networks. J Appl Econ, 40: 608-626.</w:t>
      </w:r>
    </w:p>
    <w:p w14:paraId="139A2FB5"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Mayaki, A.A.B. (2024) ‘Pareto-Nash Reversion Strategies: Three Period Dynamic Co-operative Signalling with Sticky Efficiency Wages’, SSRN Working Paper (Self-reference)</w:t>
      </w:r>
    </w:p>
    <w:p w14:paraId="1D24E93B"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Mayaki, A.A.B. (2025) ‘Pareto-Nash Allocations under Incomplete Information: A Model of Stable Optima’ SSRN Working Paper (Self-reference)</w:t>
      </w:r>
    </w:p>
    <w:p w14:paraId="2C1431EF"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Miller, H. and Doyle, N. (2025) ‘Signalling a diversity climate: Neurodivergent experiences and perceptions during selection and assessment’, Journal of occupational and organizational psychology, 98(3).</w:t>
      </w:r>
    </w:p>
    <w:p w14:paraId="1DCC6BD4"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Pissarides, C. A. (2017). Equilibrium Unemployment Theory. 2nd edn. Cambridge, MA: MIT Press.</w:t>
      </w:r>
    </w:p>
    <w:p w14:paraId="46515ADD"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Porter, M. E. (2008). The five competitive forces that shape strategy. Harvard business review, 86(1), 78.</w:t>
      </w:r>
    </w:p>
    <w:p w14:paraId="3A17A8A0"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Rousseau, D. M. (1985). Issues of level in organizational research: Multi-level and cross-level perspectives. Research in Organizational Behavior, 7, 1–37</w:t>
      </w:r>
    </w:p>
    <w:p w14:paraId="38ACE1E2"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Scott-Phillips, T. C., Kirby, S. and Ritchie, G. R. S.  (2009) ‘Signalling signalhood and the emergence of communication’, Cognition, 113(2), 226-233</w:t>
      </w:r>
    </w:p>
    <w:p w14:paraId="5B627A2F"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Shapiro, C., and Stiglitz, J. E. (1984). Equilibrium Unemployment as a Worker Discipline Device. The American Economic Review, 74(3), 433–444.</w:t>
      </w:r>
    </w:p>
    <w:p w14:paraId="6BF64A2B"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Skardal, P. S., and Adhikari, S. (2019). Dynamics of nonlinear random walks on complex networks. Journal of Nonlinear Science, 29(4), 1419-1444.</w:t>
      </w:r>
    </w:p>
    <w:p w14:paraId="62883F71"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 xml:space="preserve">Smith, A., van Wagoner, H. P., Keplinger, K., and Celebi, C. (2025) ‘Navigating AI Convergence in Human–Artificial Intelligence Teams: A Signaling Theory Approach’, Journal of Organizational Behaviour, 0:1-31 </w:t>
      </w:r>
    </w:p>
    <w:p w14:paraId="1FF6BA94"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Spence, M. (1973) ‘Job Market Signaling,’ The Quarterly journal of economics, 87(3), pp. 355–374.</w:t>
      </w:r>
    </w:p>
    <w:p w14:paraId="57608227"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Spence, M., Behar, A. and Jayadev, A. (2024) ‘Artificial Intelligence in the Age of Uncertainty: Michael Spence in Conversation with Anurag Behar and Introduced by Arjun Jayadev,’ Information systems frontiers, 26(6), pp. 1971–1988</w:t>
      </w:r>
    </w:p>
    <w:p w14:paraId="2C6DE976"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Van Damme, E., and Güth, W. (1989) ‘Equilibrium selection in the Spence signalling game’, CentER Discussion Paper, Unknown Publisher,</w:t>
      </w:r>
    </w:p>
    <w:p w14:paraId="0FA21ECC"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Van Damme, E., and Güth, W. (1991). Equilibrium Selection in the Spence Signaling Game. In: Selten, R. (eds) Game Equilibrium Models II. Springer, Berlin, Heidelberg.</w:t>
      </w:r>
    </w:p>
    <w:p w14:paraId="59844429"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Van Riel, C.B.M., and Fombrun, C.J. (2007). ‘Essentials of Corporate Communication: Implementing Practices for Effective Reputation Management’ (1st ed.). Routledge.</w:t>
      </w:r>
    </w:p>
    <w:p w14:paraId="4237C0BF" w14:textId="77777777"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Varian, H. R. (1992) ‘Microeconomic Analysis: Third Edition’, London &amp; New York: Norton and Company, Inc.</w:t>
      </w:r>
    </w:p>
    <w:p w14:paraId="5E50494A" w14:textId="6FEA2FC8" w:rsidR="0044707F" w:rsidRPr="00DD0FDE" w:rsidRDefault="0044707F" w:rsidP="00DD0FDE">
      <w:pPr>
        <w:pStyle w:val="ListParagraph"/>
        <w:numPr>
          <w:ilvl w:val="0"/>
          <w:numId w:val="4"/>
        </w:numPr>
        <w:spacing w:after="0" w:line="360" w:lineRule="auto"/>
        <w:rPr>
          <w:rFonts w:ascii="Helvetica Neue" w:eastAsia="Helvetica Neue" w:hAnsi="Helvetica Neue" w:cs="Helvetica Neue"/>
          <w:color w:val="0F243E"/>
          <w:sz w:val="18"/>
          <w:szCs w:val="18"/>
        </w:rPr>
      </w:pPr>
      <w:r w:rsidRPr="00DD0FDE">
        <w:rPr>
          <w:rFonts w:ascii="Helvetica Neue" w:eastAsia="Helvetica Neue" w:hAnsi="Helvetica Neue" w:cs="Helvetica Neue"/>
          <w:color w:val="0F243E"/>
          <w:sz w:val="18"/>
          <w:szCs w:val="18"/>
        </w:rPr>
        <w:t>Wagener, F. (2013). ‘Shallow lake economics run deep: Nonlinear aspects of an economic-ecological interest conflict’. Computational Management Science, 10(4), 423-450.</w:t>
      </w:r>
    </w:p>
    <w:p w14:paraId="613A5BFA" w14:textId="77777777" w:rsidR="00C2472A" w:rsidRDefault="00C2472A">
      <w:pPr>
        <w:spacing w:after="0"/>
        <w:jc w:val="both"/>
        <w:rPr>
          <w:rFonts w:ascii="Helvetica Neue" w:eastAsia="Helvetica Neue" w:hAnsi="Helvetica Neue" w:cs="Helvetica Neue"/>
          <w:color w:val="434343"/>
          <w:sz w:val="24"/>
          <w:szCs w:val="24"/>
        </w:rPr>
      </w:pPr>
    </w:p>
    <w:p w14:paraId="16E77BD6" w14:textId="77777777" w:rsidR="00C2472A" w:rsidRDefault="00C2472A">
      <w:pPr>
        <w:spacing w:after="0"/>
        <w:jc w:val="both"/>
        <w:rPr>
          <w:rFonts w:ascii="Helvetica Neue" w:eastAsia="Helvetica Neue" w:hAnsi="Helvetica Neue" w:cs="Helvetica Neue"/>
          <w:color w:val="434343"/>
          <w:sz w:val="24"/>
          <w:szCs w:val="24"/>
        </w:rPr>
      </w:pPr>
    </w:p>
    <w:p w14:paraId="49867771" w14:textId="77777777" w:rsidR="00C2472A" w:rsidRDefault="00C2472A">
      <w:pPr>
        <w:spacing w:after="0"/>
        <w:jc w:val="both"/>
        <w:rPr>
          <w:rFonts w:ascii="Helvetica Neue" w:eastAsia="Helvetica Neue" w:hAnsi="Helvetica Neue" w:cs="Helvetica Neue"/>
          <w:color w:val="434343"/>
          <w:sz w:val="24"/>
          <w:szCs w:val="24"/>
        </w:rPr>
      </w:pPr>
    </w:p>
    <w:p w14:paraId="46A0F474" w14:textId="77777777" w:rsidR="00C2472A" w:rsidRDefault="00AD5B53">
      <w:pPr>
        <w:spacing w:after="0"/>
        <w:jc w:val="both"/>
        <w:rPr>
          <w:rFonts w:ascii="Helvetica Neue" w:eastAsia="Helvetica Neue" w:hAnsi="Helvetica Neue" w:cs="Helvetica Neue"/>
          <w:color w:val="0F243E"/>
          <w:sz w:val="18"/>
          <w:szCs w:val="18"/>
        </w:rPr>
        <w:sectPr w:rsidR="00C2472A">
          <w:type w:val="continuous"/>
          <w:pgSz w:w="11906" w:h="16838"/>
          <w:pgMar w:top="720" w:right="720" w:bottom="720" w:left="720" w:header="708" w:footer="708" w:gutter="0"/>
          <w:cols w:space="720"/>
          <w:titlePg/>
        </w:sectPr>
      </w:pPr>
      <w:r>
        <w:rPr>
          <w:rFonts w:ascii="Helvetica Neue" w:eastAsia="Helvetica Neue" w:hAnsi="Helvetica Neue" w:cs="Helvetica Neue"/>
        </w:rPr>
        <w:t xml:space="preserve">                                                                                                                                                                                                                                                                                                                                                                                                                                                                                                                                </w:t>
      </w:r>
      <w:r>
        <w:rPr>
          <w:rFonts w:ascii="Helvetica Neue" w:eastAsia="Helvetica Neue" w:hAnsi="Helvetica Neue" w:cs="Helvetica Neue"/>
        </w:rPr>
        <w:t xml:space="preserve">                                                                                                                     </w:t>
      </w:r>
    </w:p>
    <w:p w14:paraId="27CEEE25" w14:textId="77777777" w:rsidR="00C2472A" w:rsidRDefault="00C2472A">
      <w:pPr>
        <w:jc w:val="both"/>
        <w:rPr>
          <w:rFonts w:ascii="Helvetica Neue" w:eastAsia="Helvetica Neue" w:hAnsi="Helvetica Neue" w:cs="Helvetica Neue"/>
          <w:color w:val="0F243E"/>
          <w:sz w:val="18"/>
          <w:szCs w:val="18"/>
          <w:highlight w:val="white"/>
        </w:rPr>
      </w:pPr>
    </w:p>
    <w:p w14:paraId="4892B96A" w14:textId="77777777" w:rsidR="00C2472A" w:rsidRDefault="00C2472A">
      <w:pPr>
        <w:jc w:val="both"/>
        <w:rPr>
          <w:color w:val="0F243E"/>
          <w:sz w:val="18"/>
          <w:szCs w:val="18"/>
        </w:rPr>
      </w:pPr>
    </w:p>
    <w:sectPr w:rsidR="00C2472A">
      <w:type w:val="continuous"/>
      <w:pgSz w:w="11906" w:h="16838"/>
      <w:pgMar w:top="720" w:right="720" w:bottom="720" w:left="720" w:header="708" w:footer="70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F9C523" w14:textId="77777777" w:rsidR="00AD5B53" w:rsidRDefault="00AD5B53">
      <w:pPr>
        <w:spacing w:after="0" w:line="240" w:lineRule="auto"/>
      </w:pPr>
      <w:r>
        <w:separator/>
      </w:r>
    </w:p>
  </w:endnote>
  <w:endnote w:type="continuationSeparator" w:id="0">
    <w:p w14:paraId="09B4BF8E" w14:textId="77777777" w:rsidR="00AD5B53" w:rsidRDefault="00AD5B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FA683AA1-53BB-45BE-884E-7C9D2D37E5E0}"/>
    <w:embedBold r:id="rId2" w:fontKey="{ECFEB1FA-DE19-4EF2-B749-9997564611A4}"/>
  </w:font>
  <w:font w:name="Cambria">
    <w:panose1 w:val="02040503050406030204"/>
    <w:charset w:val="00"/>
    <w:family w:val="roman"/>
    <w:pitch w:val="variable"/>
    <w:sig w:usb0="E00006FF" w:usb1="420024FF" w:usb2="02000000" w:usb3="00000000" w:csb0="0000019F" w:csb1="00000000"/>
    <w:embedRegular r:id="rId3" w:fontKey="{86A67F08-BF25-4360-98B7-D0D354632465}"/>
    <w:embedBold r:id="rId4" w:fontKey="{5B705AB3-31B7-4C20-A9ED-F15092F4F177}"/>
    <w:embedItalic r:id="rId5" w:fontKey="{E2FDA932-83A8-46C3-A258-50A1D3F7F280}"/>
  </w:font>
  <w:font w:name="Tahoma">
    <w:panose1 w:val="020B0604030504040204"/>
    <w:charset w:val="00"/>
    <w:family w:val="swiss"/>
    <w:pitch w:val="variable"/>
    <w:sig w:usb0="E1002EFF" w:usb1="C000605B" w:usb2="00000029" w:usb3="00000000" w:csb0="000101FF" w:csb1="00000000"/>
    <w:embedRegular r:id="rId6" w:fontKey="{3FF5A43B-368E-4DF5-A35F-2F0BEDF7F726}"/>
  </w:font>
  <w:font w:name="Helvetica Neue">
    <w:charset w:val="00"/>
    <w:family w:val="auto"/>
    <w:pitch w:val="default"/>
    <w:embedRegular r:id="rId7" w:fontKey="{B5D23ACD-8346-48B8-B19B-D14DB5A69649}"/>
    <w:embedBold r:id="rId8" w:fontKey="{175C75F3-9D52-4DD2-BEDF-23D205314DB4}"/>
    <w:embedItalic r:id="rId9" w:fontKey="{F1051CE2-6269-453F-9892-A22A3F93CB3A}"/>
    <w:embedBoldItalic r:id="rId10" w:fontKey="{D82CEE43-D8D5-45DD-830D-DCC13E800449}"/>
  </w:font>
  <w:font w:name="Arial">
    <w:panose1 w:val="020B0604020202020204"/>
    <w:charset w:val="00"/>
    <w:family w:val="swiss"/>
    <w:pitch w:val="variable"/>
    <w:sig w:usb0="E0002EFF" w:usb1="C000785B" w:usb2="00000009" w:usb3="00000000" w:csb0="000001FF" w:csb1="00000000"/>
  </w:font>
  <w:font w:name="Libre Franklin">
    <w:charset w:val="00"/>
    <w:family w:val="auto"/>
    <w:pitch w:val="variable"/>
    <w:sig w:usb0="A00000FF" w:usb1="4000205B" w:usb2="00000000" w:usb3="00000000" w:csb0="00000193" w:csb1="00000000"/>
    <w:embedRegular r:id="rId11" w:fontKey="{A8607B83-2278-4001-B8BC-2FFF797D1D43}"/>
    <w:embedItalic r:id="rId12" w:fontKey="{8B1A0C68-F7BB-4C62-B91B-CC5138F9D7B7}"/>
  </w:font>
  <w:font w:name="Verdana">
    <w:panose1 w:val="020B0604030504040204"/>
    <w:charset w:val="00"/>
    <w:family w:val="swiss"/>
    <w:pitch w:val="variable"/>
    <w:sig w:usb0="A00006FF" w:usb1="4000205B" w:usb2="00000010" w:usb3="00000000" w:csb0="0000019F" w:csb1="00000000"/>
    <w:embedRegular r:id="rId13" w:fontKey="{9E0E4D08-8BA7-41C7-A744-B5F3DDFB383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FE9FDA" w14:textId="77777777" w:rsidR="00C2472A" w:rsidRDefault="00AD5B53">
    <w:pPr>
      <w:pBdr>
        <w:top w:val="nil"/>
        <w:left w:val="nil"/>
        <w:bottom w:val="nil"/>
        <w:right w:val="nil"/>
        <w:between w:val="nil"/>
      </w:pBdr>
      <w:tabs>
        <w:tab w:val="center" w:pos="4513"/>
        <w:tab w:val="right" w:pos="9026"/>
      </w:tabs>
      <w:spacing w:after="0" w:line="240" w:lineRule="auto"/>
      <w:jc w:val="right"/>
      <w:rPr>
        <w:rFonts w:ascii="Helvetica Neue" w:eastAsia="Helvetica Neue" w:hAnsi="Helvetica Neue" w:cs="Helvetica Neue"/>
        <w:color w:val="17365D"/>
        <w:sz w:val="20"/>
        <w:szCs w:val="20"/>
      </w:rPr>
    </w:pPr>
    <w:r>
      <w:rPr>
        <w:rFonts w:ascii="Helvetica Neue" w:eastAsia="Helvetica Neue" w:hAnsi="Helvetica Neue" w:cs="Helvetica Neue"/>
        <w:color w:val="17365D"/>
        <w:sz w:val="20"/>
        <w:szCs w:val="20"/>
      </w:rPr>
      <w:fldChar w:fldCharType="begin"/>
    </w:r>
    <w:r>
      <w:rPr>
        <w:rFonts w:ascii="Helvetica Neue" w:eastAsia="Helvetica Neue" w:hAnsi="Helvetica Neue" w:cs="Helvetica Neue"/>
        <w:color w:val="17365D"/>
        <w:sz w:val="20"/>
        <w:szCs w:val="20"/>
      </w:rPr>
      <w:instrText>PAGE</w:instrText>
    </w:r>
    <w:r>
      <w:rPr>
        <w:rFonts w:ascii="Helvetica Neue" w:eastAsia="Helvetica Neue" w:hAnsi="Helvetica Neue" w:cs="Helvetica Neue"/>
        <w:color w:val="17365D"/>
        <w:sz w:val="20"/>
        <w:szCs w:val="20"/>
      </w:rPr>
      <w:fldChar w:fldCharType="separate"/>
    </w:r>
    <w:r w:rsidR="008B727A">
      <w:rPr>
        <w:rFonts w:ascii="Helvetica Neue" w:eastAsia="Helvetica Neue" w:hAnsi="Helvetica Neue" w:cs="Helvetica Neue"/>
        <w:noProof/>
        <w:color w:val="17365D"/>
        <w:sz w:val="20"/>
        <w:szCs w:val="20"/>
      </w:rPr>
      <w:t>1</w:t>
    </w:r>
    <w:r>
      <w:rPr>
        <w:rFonts w:ascii="Helvetica Neue" w:eastAsia="Helvetica Neue" w:hAnsi="Helvetica Neue" w:cs="Helvetica Neue"/>
        <w:color w:val="17365D"/>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9444DC" w14:textId="77777777" w:rsidR="00C2472A" w:rsidRDefault="00C2472A"/>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4DBDB0" w14:textId="77777777" w:rsidR="00AD5B53" w:rsidRDefault="00AD5B53">
      <w:pPr>
        <w:spacing w:after="0" w:line="240" w:lineRule="auto"/>
      </w:pPr>
      <w:r>
        <w:separator/>
      </w:r>
    </w:p>
  </w:footnote>
  <w:footnote w:type="continuationSeparator" w:id="0">
    <w:p w14:paraId="54A67BA3" w14:textId="77777777" w:rsidR="00AD5B53" w:rsidRDefault="00AD5B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A591" w14:textId="77777777" w:rsidR="00C2472A" w:rsidRDefault="00C2472A">
    <w:pPr>
      <w:pBdr>
        <w:top w:val="nil"/>
        <w:left w:val="nil"/>
        <w:bottom w:val="nil"/>
        <w:right w:val="nil"/>
        <w:between w:val="nil"/>
      </w:pBdr>
      <w:tabs>
        <w:tab w:val="center" w:pos="4513"/>
        <w:tab w:val="right" w:pos="9026"/>
      </w:tabs>
      <w:spacing w:after="0" w:line="240" w:lineRule="auto"/>
      <w:jc w:val="right"/>
      <w:rPr>
        <w:color w:val="000000"/>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E818E" w14:textId="77777777" w:rsidR="00C2472A" w:rsidRDefault="00C2472A"/>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0121C"/>
    <w:multiLevelType w:val="multilevel"/>
    <w:tmpl w:val="D88C33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14EF4D04"/>
    <w:multiLevelType w:val="multilevel"/>
    <w:tmpl w:val="B9D6D7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8B7306B"/>
    <w:multiLevelType w:val="hybridMultilevel"/>
    <w:tmpl w:val="8EACF404"/>
    <w:lvl w:ilvl="0" w:tplc="0809000F">
      <w:start w:val="1"/>
      <w:numFmt w:val="decimal"/>
      <w:lvlText w:val="%1."/>
      <w:lvlJc w:val="left"/>
      <w:pPr>
        <w:ind w:left="1077" w:hanging="360"/>
      </w:pPr>
    </w:lvl>
    <w:lvl w:ilvl="1" w:tplc="08090019" w:tentative="1">
      <w:start w:val="1"/>
      <w:numFmt w:val="lowerLetter"/>
      <w:lvlText w:val="%2."/>
      <w:lvlJc w:val="left"/>
      <w:pPr>
        <w:ind w:left="1797" w:hanging="360"/>
      </w:pPr>
    </w:lvl>
    <w:lvl w:ilvl="2" w:tplc="0809001B" w:tentative="1">
      <w:start w:val="1"/>
      <w:numFmt w:val="lowerRoman"/>
      <w:lvlText w:val="%3."/>
      <w:lvlJc w:val="right"/>
      <w:pPr>
        <w:ind w:left="2517" w:hanging="180"/>
      </w:pPr>
    </w:lvl>
    <w:lvl w:ilvl="3" w:tplc="0809000F" w:tentative="1">
      <w:start w:val="1"/>
      <w:numFmt w:val="decimal"/>
      <w:lvlText w:val="%4."/>
      <w:lvlJc w:val="left"/>
      <w:pPr>
        <w:ind w:left="3237" w:hanging="360"/>
      </w:pPr>
    </w:lvl>
    <w:lvl w:ilvl="4" w:tplc="08090019" w:tentative="1">
      <w:start w:val="1"/>
      <w:numFmt w:val="lowerLetter"/>
      <w:lvlText w:val="%5."/>
      <w:lvlJc w:val="left"/>
      <w:pPr>
        <w:ind w:left="3957" w:hanging="360"/>
      </w:pPr>
    </w:lvl>
    <w:lvl w:ilvl="5" w:tplc="0809001B" w:tentative="1">
      <w:start w:val="1"/>
      <w:numFmt w:val="lowerRoman"/>
      <w:lvlText w:val="%6."/>
      <w:lvlJc w:val="right"/>
      <w:pPr>
        <w:ind w:left="4677" w:hanging="180"/>
      </w:pPr>
    </w:lvl>
    <w:lvl w:ilvl="6" w:tplc="0809000F" w:tentative="1">
      <w:start w:val="1"/>
      <w:numFmt w:val="decimal"/>
      <w:lvlText w:val="%7."/>
      <w:lvlJc w:val="left"/>
      <w:pPr>
        <w:ind w:left="5397" w:hanging="360"/>
      </w:pPr>
    </w:lvl>
    <w:lvl w:ilvl="7" w:tplc="08090019" w:tentative="1">
      <w:start w:val="1"/>
      <w:numFmt w:val="lowerLetter"/>
      <w:lvlText w:val="%8."/>
      <w:lvlJc w:val="left"/>
      <w:pPr>
        <w:ind w:left="6117" w:hanging="360"/>
      </w:pPr>
    </w:lvl>
    <w:lvl w:ilvl="8" w:tplc="0809001B" w:tentative="1">
      <w:start w:val="1"/>
      <w:numFmt w:val="lowerRoman"/>
      <w:lvlText w:val="%9."/>
      <w:lvlJc w:val="right"/>
      <w:pPr>
        <w:ind w:left="6837" w:hanging="180"/>
      </w:pPr>
    </w:lvl>
  </w:abstractNum>
  <w:abstractNum w:abstractNumId="3" w15:restartNumberingAfterBreak="0">
    <w:nsid w:val="4AF60AB7"/>
    <w:multiLevelType w:val="hybridMultilevel"/>
    <w:tmpl w:val="A56CCD8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109278825">
    <w:abstractNumId w:val="1"/>
  </w:num>
  <w:num w:numId="2" w16cid:durableId="597563762">
    <w:abstractNumId w:val="0"/>
  </w:num>
  <w:num w:numId="3" w16cid:durableId="1859663636">
    <w:abstractNumId w:val="2"/>
  </w:num>
  <w:num w:numId="4" w16cid:durableId="15458290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472A"/>
    <w:rsid w:val="00060015"/>
    <w:rsid w:val="0007262A"/>
    <w:rsid w:val="000749BF"/>
    <w:rsid w:val="000802DF"/>
    <w:rsid w:val="001F7DCD"/>
    <w:rsid w:val="002039D0"/>
    <w:rsid w:val="002D30CA"/>
    <w:rsid w:val="0044707F"/>
    <w:rsid w:val="00556DDE"/>
    <w:rsid w:val="00630C97"/>
    <w:rsid w:val="006E09FE"/>
    <w:rsid w:val="006E1989"/>
    <w:rsid w:val="0077132E"/>
    <w:rsid w:val="007B57D5"/>
    <w:rsid w:val="007C2DC1"/>
    <w:rsid w:val="00805AC9"/>
    <w:rsid w:val="008231D3"/>
    <w:rsid w:val="008B727A"/>
    <w:rsid w:val="008E2CB9"/>
    <w:rsid w:val="009C6D6D"/>
    <w:rsid w:val="00A106D1"/>
    <w:rsid w:val="00A65BD2"/>
    <w:rsid w:val="00A76E8F"/>
    <w:rsid w:val="00AC06F6"/>
    <w:rsid w:val="00AD5B53"/>
    <w:rsid w:val="00B63550"/>
    <w:rsid w:val="00B73057"/>
    <w:rsid w:val="00BD6CA1"/>
    <w:rsid w:val="00C2472A"/>
    <w:rsid w:val="00DD0FDE"/>
    <w:rsid w:val="00E05E3B"/>
    <w:rsid w:val="00E65E59"/>
    <w:rsid w:val="00E670C9"/>
    <w:rsid w:val="00EE0B1A"/>
    <w:rsid w:val="00EF6528"/>
    <w:rsid w:val="00FD61D1"/>
    <w:rsid w:val="00FD7D4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8C55CF"/>
  <w15:docId w15:val="{3931B5F6-D55E-490E-97AF-16A747C25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GB" w:eastAsia="en-GB"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3DD1"/>
  </w:style>
  <w:style w:type="paragraph" w:styleId="Heading1">
    <w:name w:val="heading 1"/>
    <w:basedOn w:val="Normal"/>
    <w:next w:val="Normal"/>
    <w:link w:val="Heading1Char"/>
    <w:uiPriority w:val="9"/>
    <w:qFormat/>
    <w:rsid w:val="00FB0C63"/>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unhideWhenUsed/>
    <w:qFormat/>
    <w:rsid w:val="00450C8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1D2B7B"/>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1D2B7B"/>
    <w:rPr>
      <w:rFonts w:asciiTheme="majorHAnsi" w:eastAsiaTheme="majorEastAsia" w:hAnsiTheme="majorHAnsi" w:cstheme="majorBidi"/>
      <w:color w:val="17365D" w:themeColor="text2" w:themeShade="BF"/>
      <w:spacing w:val="5"/>
      <w:kern w:val="28"/>
      <w:sz w:val="52"/>
      <w:szCs w:val="52"/>
      <w:lang w:val="en-US" w:eastAsia="ja-JP"/>
    </w:rPr>
  </w:style>
  <w:style w:type="paragraph" w:styleId="Subtitle">
    <w:name w:val="Subtitle"/>
    <w:basedOn w:val="Normal"/>
    <w:next w:val="Normal"/>
    <w:link w:val="SubtitleChar"/>
    <w:uiPriority w:val="11"/>
    <w:qFormat/>
    <w:rPr>
      <w:rFonts w:ascii="Cambria" w:eastAsia="Cambria" w:hAnsi="Cambria" w:cs="Cambria"/>
      <w:i/>
      <w:color w:val="4F81BD"/>
      <w:sz w:val="24"/>
      <w:szCs w:val="24"/>
    </w:rPr>
  </w:style>
  <w:style w:type="character" w:customStyle="1" w:styleId="SubtitleChar">
    <w:name w:val="Subtitle Char"/>
    <w:basedOn w:val="DefaultParagraphFont"/>
    <w:link w:val="Subtitle"/>
    <w:uiPriority w:val="11"/>
    <w:rsid w:val="001D2B7B"/>
    <w:rPr>
      <w:rFonts w:asciiTheme="majorHAnsi" w:eastAsiaTheme="majorEastAsia" w:hAnsiTheme="majorHAnsi" w:cstheme="majorBidi"/>
      <w:i/>
      <w:iCs/>
      <w:color w:val="4F81BD" w:themeColor="accent1"/>
      <w:spacing w:val="15"/>
      <w:sz w:val="24"/>
      <w:szCs w:val="24"/>
      <w:lang w:val="en-US" w:eastAsia="ja-JP"/>
    </w:rPr>
  </w:style>
  <w:style w:type="paragraph" w:styleId="BalloonText">
    <w:name w:val="Balloon Text"/>
    <w:basedOn w:val="Normal"/>
    <w:link w:val="BalloonTextChar"/>
    <w:uiPriority w:val="99"/>
    <w:semiHidden/>
    <w:unhideWhenUsed/>
    <w:rsid w:val="001D2B7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1D2B7B"/>
    <w:rPr>
      <w:rFonts w:ascii="Tahoma" w:hAnsi="Tahoma" w:cs="Tahoma"/>
      <w:sz w:val="16"/>
      <w:szCs w:val="16"/>
    </w:rPr>
  </w:style>
  <w:style w:type="paragraph" w:styleId="NormalWeb">
    <w:name w:val="Normal (Web)"/>
    <w:basedOn w:val="Normal"/>
    <w:uiPriority w:val="99"/>
    <w:semiHidden/>
    <w:unhideWhenUsed/>
    <w:rsid w:val="00F91248"/>
    <w:pPr>
      <w:spacing w:after="150"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997BA7"/>
    <w:pPr>
      <w:ind w:left="720"/>
      <w:contextualSpacing/>
    </w:pPr>
  </w:style>
  <w:style w:type="character" w:styleId="Hyperlink">
    <w:name w:val="Hyperlink"/>
    <w:basedOn w:val="DefaultParagraphFont"/>
    <w:uiPriority w:val="99"/>
    <w:unhideWhenUsed/>
    <w:rsid w:val="00931D42"/>
    <w:rPr>
      <w:color w:val="0000FF" w:themeColor="hyperlink"/>
      <w:u w:val="single"/>
    </w:rPr>
  </w:style>
  <w:style w:type="character" w:styleId="SubtleEmphasis">
    <w:name w:val="Subtle Emphasis"/>
    <w:basedOn w:val="DefaultParagraphFont"/>
    <w:uiPriority w:val="19"/>
    <w:qFormat/>
    <w:rsid w:val="008F7608"/>
    <w:rPr>
      <w:i/>
      <w:iCs/>
      <w:color w:val="808080" w:themeColor="text1" w:themeTint="7F"/>
    </w:rPr>
  </w:style>
  <w:style w:type="paragraph" w:styleId="FootnoteText">
    <w:name w:val="footnote text"/>
    <w:basedOn w:val="Normal"/>
    <w:link w:val="FootnoteTextChar"/>
    <w:uiPriority w:val="99"/>
    <w:semiHidden/>
    <w:unhideWhenUsed/>
    <w:rsid w:val="004F15B7"/>
    <w:pPr>
      <w:spacing w:after="0" w:line="240" w:lineRule="auto"/>
    </w:pPr>
    <w:rPr>
      <w:rFonts w:eastAsiaTheme="minorEastAsia"/>
      <w:sz w:val="20"/>
      <w:szCs w:val="20"/>
      <w:lang w:eastAsia="zh-CN"/>
    </w:rPr>
  </w:style>
  <w:style w:type="character" w:customStyle="1" w:styleId="FootnoteTextChar">
    <w:name w:val="Footnote Text Char"/>
    <w:basedOn w:val="DefaultParagraphFont"/>
    <w:link w:val="FootnoteText"/>
    <w:uiPriority w:val="99"/>
    <w:semiHidden/>
    <w:rsid w:val="004F15B7"/>
    <w:rPr>
      <w:rFonts w:eastAsiaTheme="minorEastAsia"/>
      <w:sz w:val="20"/>
      <w:szCs w:val="20"/>
      <w:lang w:eastAsia="zh-CN"/>
    </w:rPr>
  </w:style>
  <w:style w:type="character" w:styleId="FootnoteReference">
    <w:name w:val="footnote reference"/>
    <w:basedOn w:val="DefaultParagraphFont"/>
    <w:uiPriority w:val="99"/>
    <w:semiHidden/>
    <w:unhideWhenUsed/>
    <w:rsid w:val="004F15B7"/>
    <w:rPr>
      <w:vertAlign w:val="superscript"/>
    </w:rPr>
  </w:style>
  <w:style w:type="character" w:styleId="IntenseEmphasis">
    <w:name w:val="Intense Emphasis"/>
    <w:basedOn w:val="DefaultParagraphFont"/>
    <w:uiPriority w:val="21"/>
    <w:qFormat/>
    <w:rsid w:val="00450C8B"/>
    <w:rPr>
      <w:b/>
      <w:bCs/>
      <w:i/>
      <w:iCs/>
      <w:color w:val="4F81BD" w:themeColor="accent1"/>
    </w:rPr>
  </w:style>
  <w:style w:type="table" w:styleId="TableGrid">
    <w:name w:val="Table Grid"/>
    <w:basedOn w:val="TableNormal"/>
    <w:uiPriority w:val="59"/>
    <w:rsid w:val="00450C8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450C8B"/>
    <w:rPr>
      <w:rFonts w:ascii="Times New Roman" w:eastAsia="Times New Roman" w:hAnsi="Times New Roman" w:cs="Times New Roman"/>
      <w:b/>
      <w:bCs/>
      <w:sz w:val="36"/>
      <w:szCs w:val="36"/>
      <w:lang w:eastAsia="en-GB"/>
    </w:rPr>
  </w:style>
  <w:style w:type="paragraph" w:customStyle="1" w:styleId="Default">
    <w:name w:val="Default"/>
    <w:rsid w:val="00131DAE"/>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AA27E0"/>
    <w:pPr>
      <w:tabs>
        <w:tab w:val="center" w:pos="4513"/>
        <w:tab w:val="right" w:pos="9026"/>
      </w:tabs>
      <w:spacing w:after="0" w:line="240" w:lineRule="auto"/>
    </w:pPr>
  </w:style>
  <w:style w:type="character" w:customStyle="1" w:styleId="HeaderChar">
    <w:name w:val="Header Char"/>
    <w:basedOn w:val="DefaultParagraphFont"/>
    <w:link w:val="Header"/>
    <w:uiPriority w:val="99"/>
    <w:rsid w:val="00AA27E0"/>
  </w:style>
  <w:style w:type="paragraph" w:styleId="Footer">
    <w:name w:val="footer"/>
    <w:basedOn w:val="Normal"/>
    <w:link w:val="FooterChar"/>
    <w:uiPriority w:val="99"/>
    <w:unhideWhenUsed/>
    <w:rsid w:val="00AA27E0"/>
    <w:pPr>
      <w:tabs>
        <w:tab w:val="center" w:pos="4513"/>
        <w:tab w:val="right" w:pos="9026"/>
      </w:tabs>
      <w:spacing w:after="0" w:line="240" w:lineRule="auto"/>
    </w:pPr>
  </w:style>
  <w:style w:type="character" w:customStyle="1" w:styleId="FooterChar">
    <w:name w:val="Footer Char"/>
    <w:basedOn w:val="DefaultParagraphFont"/>
    <w:link w:val="Footer"/>
    <w:uiPriority w:val="99"/>
    <w:rsid w:val="00AA27E0"/>
  </w:style>
  <w:style w:type="character" w:styleId="Emphasis">
    <w:name w:val="Emphasis"/>
    <w:basedOn w:val="DefaultParagraphFont"/>
    <w:uiPriority w:val="20"/>
    <w:qFormat/>
    <w:rsid w:val="00C83F87"/>
    <w:rPr>
      <w:i/>
      <w:iCs/>
    </w:rPr>
  </w:style>
  <w:style w:type="character" w:customStyle="1" w:styleId="Heading1Char">
    <w:name w:val="Heading 1 Char"/>
    <w:basedOn w:val="DefaultParagraphFont"/>
    <w:link w:val="Heading1"/>
    <w:uiPriority w:val="9"/>
    <w:rsid w:val="00FB0C63"/>
    <w:rPr>
      <w:rFonts w:asciiTheme="majorHAnsi" w:eastAsiaTheme="majorEastAsia" w:hAnsiTheme="majorHAnsi" w:cstheme="majorBidi"/>
      <w:b/>
      <w:bCs/>
      <w:color w:val="365F91" w:themeColor="accent1" w:themeShade="BF"/>
      <w:sz w:val="28"/>
      <w:szCs w:val="28"/>
    </w:rPr>
  </w:style>
  <w:style w:type="character" w:styleId="UnresolvedMention">
    <w:name w:val="Unresolved Mention"/>
    <w:basedOn w:val="DefaultParagraphFont"/>
    <w:uiPriority w:val="99"/>
    <w:semiHidden/>
    <w:unhideWhenUsed/>
    <w:rsid w:val="005B1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g"/><Relationship Id="rId18"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footer" Target="footer2.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5.png"/><Relationship Id="rId2" Type="http://schemas.openxmlformats.org/officeDocument/2006/relationships/customXml" Target="../customXml/item2.xml"/><Relationship Id="rId16" Type="http://schemas.openxmlformats.org/officeDocument/2006/relationships/hyperlink" Target="http://www.ibrecruitment.com"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hyperlink" Target="mailto:alfred.mayaki@ou.ac.uk" TargetMode="Externa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activity xmlns="8e01254b-f338-4f61-8b75-95bd48ce8af3"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E4970C92FFC3444EAE00F39E999EAAE7" ma:contentTypeVersion="15" ma:contentTypeDescription="Create a new document." ma:contentTypeScope="" ma:versionID="707658634b50748c432d6341d7234795">
  <xsd:schema xmlns:xsd="http://www.w3.org/2001/XMLSchema" xmlns:xs="http://www.w3.org/2001/XMLSchema" xmlns:p="http://schemas.microsoft.com/office/2006/metadata/properties" xmlns:ns3="8e01254b-f338-4f61-8b75-95bd48ce8af3" xmlns:ns4="60911b5a-7196-4023-869e-d31528c2c0d3" targetNamespace="http://schemas.microsoft.com/office/2006/metadata/properties" ma:root="true" ma:fieldsID="79ec481d732ec43cec30fa6c9b81de7b" ns3:_="" ns4:_="">
    <xsd:import namespace="8e01254b-f338-4f61-8b75-95bd48ce8af3"/>
    <xsd:import namespace="60911b5a-7196-4023-869e-d31528c2c0d3"/>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ystemTags" minOccurs="0"/>
                <xsd:element ref="ns3:MediaServiceOCR" minOccurs="0"/>
                <xsd:element ref="ns3:MediaServiceGenerationTime" minOccurs="0"/>
                <xsd:element ref="ns3:MediaServiceEventHashCode" minOccurs="0"/>
                <xsd:element ref="ns3:_activity" minOccurs="0"/>
                <xsd:element ref="ns4:SharedWithUsers" minOccurs="0"/>
                <xsd:element ref="ns4:SharedWithDetails" minOccurs="0"/>
                <xsd:element ref="ns4:SharingHintHash" minOccurs="0"/>
                <xsd:element ref="ns3:MediaLengthInSeconds"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e01254b-f338-4f61-8b75-95bd48ce8af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ystemTags" ma:index="11" nillable="true" ma:displayName="MediaServiceSystemTags" ma:hidden="true" ma:internalName="MediaServiceSystemTags" ma:readOnly="true">
      <xsd:simpleType>
        <xsd:restriction base="dms:Note"/>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_activity" ma:index="15" nillable="true" ma:displayName="_activity" ma:hidden="true" ma:internalName="_activity">
      <xsd:simpleType>
        <xsd:restriction base="dms:Note"/>
      </xsd:simpleType>
    </xsd:element>
    <xsd:element name="MediaLengthInSeconds" ma:index="19" nillable="true" ma:displayName="MediaLengthInSeconds" ma:hidden="true" ma:internalName="MediaLengthInSeconds" ma:readOnly="true">
      <xsd:simpleType>
        <xsd:restriction base="dms:Unknown"/>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0911b5a-7196-4023-869e-d31528c2c0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6JODi+7vzqxvtgsjoTBYzyqoBQw==">CgMxLjAyDmguemN5c2xrdmZ4dTF2OAByITFUOVp3ekg5UkpLd0hQczVjWkdoUkJXTHY0NWN3ZFpjNQ==</go:docsCustomData>
</go:gDocsCustomXmlDataStorage>
</file>

<file path=customXml/itemProps1.xml><?xml version="1.0" encoding="utf-8"?>
<ds:datastoreItem xmlns:ds="http://schemas.openxmlformats.org/officeDocument/2006/customXml" ds:itemID="{2D8D9FE4-B092-4354-8F47-0989DF4457D7}">
  <ds:schemaRefs>
    <ds:schemaRef ds:uri="http://schemas.microsoft.com/office/2006/metadata/properties"/>
    <ds:schemaRef ds:uri="http://schemas.microsoft.com/office/infopath/2007/PartnerControls"/>
    <ds:schemaRef ds:uri="8e01254b-f338-4f61-8b75-95bd48ce8af3"/>
  </ds:schemaRefs>
</ds:datastoreItem>
</file>

<file path=customXml/itemProps2.xml><?xml version="1.0" encoding="utf-8"?>
<ds:datastoreItem xmlns:ds="http://schemas.openxmlformats.org/officeDocument/2006/customXml" ds:itemID="{D8988E9D-7AEA-4159-A95D-7B7C7372ADB9}">
  <ds:schemaRefs>
    <ds:schemaRef ds:uri="http://schemas.microsoft.com/sharepoint/v3/contenttype/forms"/>
  </ds:schemaRefs>
</ds:datastoreItem>
</file>

<file path=customXml/itemProps3.xml><?xml version="1.0" encoding="utf-8"?>
<ds:datastoreItem xmlns:ds="http://schemas.openxmlformats.org/officeDocument/2006/customXml" ds:itemID="{9AE1A154-9B6B-4B75-8F1D-43FE371E5FA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e01254b-f338-4f61-8b75-95bd48ce8af3"/>
    <ds:schemaRef ds:uri="60911b5a-7196-4023-869e-d31528c2c0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6279</Words>
  <Characters>35795</Characters>
  <Application>Microsoft Office Word</Application>
  <DocSecurity>0</DocSecurity>
  <Lines>298</Lines>
  <Paragraphs>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Alfred</dc:creator>
  <cp:keywords/>
  <dc:description/>
  <cp:lastModifiedBy>Alfred Anate Bodurin Mayaki</cp:lastModifiedBy>
  <cp:revision>2</cp:revision>
  <dcterms:created xsi:type="dcterms:W3CDTF">2026-04-29T16:13:00Z</dcterms:created>
  <dcterms:modified xsi:type="dcterms:W3CDTF">2026-04-29T16:13:00Z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0x010100E4970C92FFC3444EAE00F39E999EAAE7</vt:lpwstr>
  </property>
</Properties>
</file>