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Балансы организаций, версионность доп.соглашений, прописанные сборы которые влияют на формирование закрывающих документов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юридических лиц необходимо добавить раздел «Финансовые условия».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каждой организации должна храниться информация о типе взаиморасчетов: предоплата, депозит или отсрочка платежа.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депозитных клиентов необходимо вести баланс депозита с отображением текущего остатка, зарезервированных средств, доступного остатка, а также истории пополнений и списаний.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клиентов с отсрочкой платежа необходимо вести кредитный лимит, срок отсрочки, текущую задолженность, доступный остаток лимита и просроченную задолженность.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В карточке организации необходимо добавить раздел «Договоры», в котором хранятся договоры с клиентом и все дополнительные соглашения.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Каждый договор должен содержать одно или несколько дополнительных соглашений с индивидуальными финансовыми условиями.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В дополнительных соглашениях должна быть возможность настроить условия по каждому виду услуг отдельно.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авиа: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сервисный сбор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агентская надбавка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оформление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обмен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возврат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сборы поставщиков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ЖД: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сервисный сбор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оформление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обмен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 за возврат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сборы поставщиков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гостиниц: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сервисный сбор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агентская надбавка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сборы поставщиков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остальных услуг должна быть возможность задавать аналогичные индивидуальные сборы.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При создании заказа система автоматически определяет действующий договор и дополнительное соглашение клиента, применяет указанные в нем сборы и рассчитывает стоимость услуг без ручного ввода менеджером.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Все изменения договоров, дополнительных соглашений и финансовых условий должны сохраняться в истории изменений с указанием даты, пользователя и перечня измененных параметров.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Все балансы в краткой форме отображаются в линии компаний в разделе «компании», а так же учитывается пропущенные оплаты исходя из сроков, срочные документы для оплат и тд.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В дашборде и иных местах. В карточке компании должны быть настраиваемые вижы сборов по каждой услуге с шаблонами (стандартные, индивидуальные, депозит, отсрочка несколько версий и создаваемые) в каждом шаблоне услуга разбита на виды сборов. После формируетя доп соглашение к договору на основе заполненных сборов. На основе сборов формируются бух документы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Рейс: туда/обратно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</w:rPr>
        <w:drawing>
          <wp:inline distB="114300" distT="114300" distL="114300" distR="114300">
            <wp:extent cx="5731200" cy="3124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Рейс: сложный маршрут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</w:rPr>
        <w:drawing>
          <wp:inline distB="114300" distT="114300" distL="114300" distR="114300">
            <wp:extent cx="5731200" cy="511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Так же по бухгалтерии: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каждого заказчика должна быть возможность настраивать шаблоны описания услуг, которые будут использоваться в закрывающих документах (акт, счет, УПД и др.).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Описание услуг должно настраиваться аналогично сервисным сборам и храниться в дополнительном соглашении к договору.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Для каждого вида услуг должна быть возможность задать индивидуальное описание.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Например: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Авиа — «Оказание услуг по организации воздушной перевозки»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ЖД — «Оказание услуг по организации железнодорожной перевозки»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Гостиницы — «Услуги по организации проживания»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Трансферы — «Услуги по организации трансфера»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Страхование — «Услуги по оформлению страхового полиса»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При необходимости клиент может использовать собственные формулировки, соответствующие требованиям своей бухгалтерии.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Система должна автоматически подставлять нужное описание в закрывающие документы в зависимости от организации, действующего договора и дополнительного соглашения.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Перед передачей документов в онлайн-бухгалтерии (Эльба, Контур, 1С, Мое дело и другие) необходимо предусмотреть обязательный этап предварительного просмотра сформированных документов.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Пользователь должен иметь возможность проверить: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описание услуг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суммы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сервисные сборы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надбавки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реквизиты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НДС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итоговые значения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Только после подтверждения документы передаются в бухгалтерскую систему.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shd w:fill="313131" w:val="clear"/>
          <w:rtl w:val="0"/>
        </w:rPr>
        <w:t xml:space="preserve">Также необходимо предусмотреть возможность ручной корректировки описания услуги непосредственно перед отправкой без изменения шаблона в дополнительном соглашении. Это позволит учитывать разовые требования бухгалтерии конкретного клиента, не затрагивая общие настройки договора.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cccccc"/>
          <w:sz w:val="20"/>
          <w:szCs w:val="20"/>
          <w:shd w:fill="313131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