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Arial" w:hAnsi="Arial" w:cs="Arial"/>
          <w:b/>
          <w:color w:val="1F4E78"/>
          <w:sz w:val="40"/>
          <w:rtl/>
        </w:rPr>
        <w:t>النتائج والتحليل والتعديلات</w:t>
      </w:r>
    </w:p>
    <w:p>
      <w:pPr>
        <w:bidi/>
        <w:spacing w:after="200"/>
        <w:jc w:val="right"/>
      </w:pPr>
      <w:r>
        <w:rPr>
          <w:rFonts w:ascii="Arial" w:hAnsi="Arial" w:cs="Arial"/>
          <w:b w:val="0"/>
          <w:color w:val="595959"/>
          <w:sz w:val="22"/>
          <w:rtl/>
        </w:rPr>
        <w:t>ضغط الصور بـ LBG المتوازي (MPI) — الحالة المعتمدة بتاريخ 2026-10-03 (الإصدار v3)</w:t>
      </w:r>
    </w:p>
    <w:p>
      <w:pPr>
        <w:bidi/>
        <w:spacing w:after="120"/>
        <w:jc w:val="right"/>
      </w:pPr>
      <w:r>
        <w:rPr>
          <w:rFonts w:ascii="Arial" w:hAnsi="Arial" w:cs="Arial"/>
          <w:b/>
          <w:color w:val="1F4E78"/>
          <w:sz w:val="30"/>
          <w:rtl/>
        </w:rPr>
        <w:t>أولاً: التعديلات التي أُجريت على الكود</w:t>
      </w:r>
    </w:p>
    <w:p>
      <w:pPr>
        <w:bidi/>
        <w:spacing w:after="80"/>
        <w:jc w:val="right"/>
      </w:pPr>
      <w:r>
        <w:rPr>
          <w:rFonts w:ascii="Arial" w:hAnsi="Arial" w:cs="Arial"/>
          <w:b/>
          <w:sz w:val="24"/>
          <w:rtl/>
        </w:rPr>
        <w:t>تعديلات القياس (لا تغيّر أي نتيجة)</w:t>
      </w:r>
    </w:p>
    <w:p>
      <w:pPr>
        <w:pStyle w:val="ListBullet"/>
        <w:bidi/>
        <w:spacing w:after="60"/>
        <w:jc w:val="right"/>
      </w:pPr>
      <w:r>
        <w:rPr>
          <w:rFonts w:ascii="Arial" w:hAnsi="Arial" w:cs="Arial"/>
          <w:b w:val="0"/>
          <w:rtl/>
        </w:rPr>
        <w:t>توحيد حدود قياس Total: صار يشمل كتابة ملفات الإخراج في المسارات الأربعة (رمادي/ملوّن × تسلسلي/موازي). الأثر: Total التسلسلي الرمادي ارتفع نحو 5% لأن الكتابة صارت محسوبة، وهذا تصحيح قياس لا تباطؤ.</w:t>
      </w:r>
    </w:p>
    <w:p>
      <w:pPr>
        <w:pStyle w:val="ListBullet"/>
        <w:bidi/>
        <w:spacing w:after="60"/>
        <w:jc w:val="right"/>
      </w:pPr>
      <w:r>
        <w:rPr>
          <w:rFonts w:ascii="Arial" w:hAnsi="Arial" w:cs="Arial"/>
          <w:b w:val="0"/>
          <w:rtl/>
        </w:rPr>
        <w:t>إزالة الطباعة من داخل زمن LBG في المسار الموازي (كانت تُطبع دائماً) وفي الملوّن التسلسلي. الأثر: زمن LBG الموازي أسرع بنحو 2%، والمقارنة صارت متماثلة بين الطرفين.</w:t>
      </w:r>
    </w:p>
    <w:p>
      <w:pPr>
        <w:pStyle w:val="ListBullet"/>
        <w:bidi/>
        <w:spacing w:after="60"/>
        <w:jc w:val="right"/>
      </w:pPr>
      <w:r>
        <w:rPr>
          <w:rFonts w:ascii="Arial" w:hAnsi="Arial" w:cs="Arial"/>
          <w:b w:val="0"/>
          <w:rtl/>
        </w:rPr>
        <w:t>إضافة عدّاد لتكرارات LBG في الكودين، يُطبع خارج المنطقة المقاسة. الفائدة: التأكد أن التسلسلي والموازي ينفّذان عملاً متساوياً.</w:t>
      </w:r>
    </w:p>
    <w:p>
      <w:pPr>
        <w:bidi/>
        <w:spacing w:after="80"/>
        <w:jc w:val="right"/>
      </w:pPr>
      <w:r>
        <w:rPr>
          <w:rFonts w:ascii="Arial" w:hAnsi="Arial" w:cs="Arial"/>
          <w:b/>
          <w:sz w:val="24"/>
          <w:rtl/>
        </w:rPr>
        <w:t>تعديلات الأداء</w:t>
      </w:r>
    </w:p>
    <w:p>
      <w:pPr>
        <w:pStyle w:val="ListBullet"/>
        <w:bidi/>
        <w:spacing w:after="60"/>
        <w:jc w:val="right"/>
      </w:pPr>
      <w:r>
        <w:rPr>
          <w:rFonts w:ascii="Arial" w:hAnsi="Arial" w:cs="Arial"/>
          <w:b w:val="0"/>
          <w:rtl/>
        </w:rPr>
        <w:t>توزيع الفلتر الثنائي (بعد فك الضغط) على كل العمليات بأشرطة صفوف بدل تنفيذه على rank 0 وحده. الأثر: زمن Total أقل بنسبة 5% (np=2) إلى 22% (np=14)، والصورة الناتجة مطابقة بايت ببايت للفلتر غير الموزَّع.</w:t>
      </w:r>
    </w:p>
    <w:p>
      <w:pPr>
        <w:bidi/>
        <w:spacing w:after="80"/>
        <w:jc w:val="right"/>
      </w:pPr>
      <w:r>
        <w:rPr>
          <w:rFonts w:ascii="Arial" w:hAnsi="Arial" w:cs="Arial"/>
          <w:b/>
          <w:sz w:val="24"/>
          <w:rtl/>
        </w:rPr>
        <w:t>تعديلات الجودة</w:t>
      </w:r>
    </w:p>
    <w:p>
      <w:pPr>
        <w:pStyle w:val="ListBullet"/>
        <w:bidi/>
        <w:spacing w:after="60"/>
        <w:jc w:val="right"/>
      </w:pPr>
      <w:r>
        <w:rPr>
          <w:rFonts w:ascii="Arial" w:hAnsi="Arial" w:cs="Arial"/>
          <w:b w:val="0"/>
          <w:rtl/>
        </w:rPr>
        <w:t>تغيير معاملات الفلتر بعد الضغط من (d=5, σ_color=20, σ_space=20, α=0.8) إلى (d=3, σ_color=80, σ_space=5, α=0.4)، بعد مسح معاملات بتقسيم ضبط/اختبار على صورك. الفلتر القديم كان ضعيفاً لا يزيل أثر المربعات 4×4. الأثر: PSNR أعلى بمتوسط +0.75 dB وSSIM أعلى في كل الصور، وCR لا يتأثر لأن الفلتر يعمل عند فك الضغط.</w:t>
      </w:r>
    </w:p>
    <w:p>
      <w:pPr>
        <w:pStyle w:val="ListBullet"/>
        <w:bidi/>
        <w:spacing w:after="60"/>
        <w:jc w:val="right"/>
      </w:pPr>
      <w:r>
        <w:rPr>
          <w:rFonts w:ascii="Arial" w:hAnsi="Arial" w:cs="Arial"/>
          <w:b w:val="0"/>
          <w:rtl/>
        </w:rPr>
        <w:t>الحكم البصري: الصورة بعد التعديل أنظف (اختفاء أثر الكتل) وفُضّلت على الصورة قبل التعديل. اختير α=0.4 كحل وسط يحتفظ بمعظم المكسب مع تنعيم أقل من α=0.2.</w:t>
      </w:r>
    </w:p>
    <w:p>
      <w:pPr>
        <w:bidi/>
        <w:spacing w:after="80"/>
        <w:jc w:val="right"/>
      </w:pPr>
      <w:r>
        <w:rPr>
          <w:rFonts w:ascii="Arial" w:hAnsi="Arial" w:cs="Arial"/>
          <w:b/>
          <w:sz w:val="24"/>
          <w:rtl/>
        </w:rPr>
        <w:t>تعديل الدقة العددية</w:t>
      </w:r>
    </w:p>
    <w:p>
      <w:pPr>
        <w:pStyle w:val="ListBullet"/>
        <w:bidi/>
        <w:spacing w:after="60"/>
        <w:jc w:val="right"/>
      </w:pPr>
      <w:r>
        <w:rPr>
          <w:rFonts w:ascii="Arial" w:hAnsi="Arial" w:cs="Arial"/>
          <w:b w:val="0"/>
          <w:rtl/>
        </w:rPr>
        <w:t>جمع المتوسط الابتدائي ومجاميع العناقيد والـ distortion وعملية Allreduce بدقة مزدوجة (double) في التسلسلي والموازي. متجهات التدريب أعداد صحيحة، فالمجاميع دقيقة ولا تتأثر بترتيب الجمع.</w:t>
      </w:r>
    </w:p>
    <w:p>
      <w:pPr>
        <w:pStyle w:val="ListBullet"/>
        <w:bidi/>
        <w:spacing w:after="60"/>
        <w:jc w:val="right"/>
      </w:pPr>
      <w:r>
        <w:rPr>
          <w:rFonts w:ascii="Arial" w:hAnsi="Arial" w:cs="Arial"/>
          <w:b w:val="0"/>
          <w:rtl/>
        </w:rPr>
        <w:t>الأثر: عدد التكرارات والكودبوك متطابقان في التسلسلي وفي أي عدد عمليات، وزالت شذوذات Brain MRI (عند np=4) وضعف كفاءة Peppers. ولا أثر قابل للقياس على الزمن.</w:t>
      </w:r>
    </w:p>
    <w:p>
      <w:pPr>
        <w:pStyle w:val="ListBullet"/>
        <w:bidi/>
        <w:spacing w:after="60"/>
        <w:jc w:val="right"/>
      </w:pPr>
      <w:r>
        <w:rPr>
          <w:rFonts w:ascii="Arial" w:hAnsi="Arial" w:cs="Arial"/>
          <w:b w:val="0"/>
          <w:rtl/>
        </w:rPr>
        <w:t>الثمن: تغيّرت CR بنسبة لا تتجاوز 0.7% في ست صور (Peppers، Mammogram، Brain MRI، Retina، PET Axial، PET Sagittal)، فاعتُمدت أرقام v3 في كل الجداول.</w:t>
      </w:r>
    </w:p>
    <w:p>
      <w:pPr>
        <w:bidi/>
        <w:spacing w:after="80"/>
        <w:jc w:val="right"/>
      </w:pPr>
      <w:r>
        <w:rPr>
          <w:rFonts w:ascii="Arial" w:hAnsi="Arial" w:cs="Arial"/>
          <w:b/>
          <w:sz w:val="24"/>
          <w:rtl/>
        </w:rPr>
        <w:t>قرارات اعتُمدت</w:t>
      </w:r>
    </w:p>
    <w:p>
      <w:pPr>
        <w:pStyle w:val="ListBullet"/>
        <w:bidi/>
        <w:spacing w:after="60"/>
        <w:jc w:val="right"/>
      </w:pPr>
      <w:r>
        <w:rPr>
          <w:rFonts w:ascii="Arial" w:hAnsi="Arial" w:cs="Arial"/>
          <w:b w:val="0"/>
          <w:rtl/>
        </w:rPr>
        <w:t>موضع الفلتر: بعد فك الضغط. مجموعة الدراسة 12 صورة: 8 رمادية (Lena، Boat، Cameraman، Peppers، Chest X-ray، Mammogram، Lung CT، Brain MRI) و4 ملوّنة (Lena الملوّنة، Retina، PET Axial، PET Sagittal).</w:t>
      </w:r>
    </w:p>
    <w:p>
      <w:pPr>
        <w:pStyle w:val="ListBullet"/>
        <w:bidi/>
        <w:spacing w:after="60"/>
        <w:jc w:val="right"/>
      </w:pPr>
      <w:r>
        <w:rPr>
          <w:rFonts w:ascii="Arial" w:hAnsi="Arial" w:cs="Arial"/>
          <w:b w:val="0"/>
          <w:rtl/>
        </w:rPr>
        <w:t>خارج الدراسة: Histology وصور baboon وbarbara وhouse. الاختيار التكيفي لـ α لكل صورة غير معتمد (مكسبه نحو +0.03 dB فقط).</w:t>
      </w:r>
    </w:p>
    <w:p>
      <w:pPr>
        <w:pStyle w:val="ListBullet"/>
        <w:bidi/>
        <w:spacing w:after="60"/>
        <w:jc w:val="right"/>
      </w:pPr>
      <w:r>
        <w:rPr>
          <w:rFonts w:ascii="Arial" w:hAnsi="Arial" w:cs="Arial"/>
          <w:b w:val="0"/>
          <w:rtl/>
        </w:rPr>
        <w:t>جميع المقاييس مقابل الصورة الأصلية النقية. للملوّن: RGB PSNR من متوسط MSE للقنوات الثلاث، وSSIM متوسط SSIM للقنوات.</w:t>
      </w:r>
    </w:p>
    <w:p>
      <w:pPr>
        <w:bidi/>
        <w:spacing w:after="120"/>
        <w:jc w:val="right"/>
      </w:pPr>
      <w:r>
        <w:rPr>
          <w:rFonts w:ascii="Arial" w:hAnsi="Arial" w:cs="Arial"/>
          <w:b/>
          <w:color w:val="1F4E78"/>
          <w:sz w:val="30"/>
          <w:rtl/>
        </w:rPr>
        <w:t>ثانياً: النتائج</w:t>
      </w:r>
    </w:p>
    <w:p>
      <w:pPr>
        <w:bidi/>
        <w:spacing w:after="80"/>
        <w:jc w:val="right"/>
      </w:pPr>
      <w:r>
        <w:rPr>
          <w:rFonts w:ascii="Arial" w:hAnsi="Arial" w:cs="Arial"/>
          <w:b/>
          <w:sz w:val="24"/>
          <w:rtl/>
        </w:rPr>
        <w:t>بروتوكول القياس</w:t>
      </w:r>
    </w:p>
    <w:p>
      <w:pPr>
        <w:pStyle w:val="ListBullet"/>
        <w:bidi/>
        <w:spacing w:after="60"/>
        <w:jc w:val="right"/>
      </w:pPr>
      <w:r>
        <w:rPr>
          <w:rFonts w:ascii="Arial" w:hAnsi="Arial" w:cs="Arial"/>
          <w:b w:val="0"/>
          <w:rtl/>
        </w:rPr>
        <w:t>الشاحن موصول، governor = performance، median من 5 تكرارات، التسلسلي مثبّت على نواة P، mpirun --bind-to core. الجهاز: Intel i7-13650HX (6 نوى أداء + 8 نوى كفاءة)، Open MPI 4.1.6.</w:t>
      </w:r>
    </w:p>
    <w:p>
      <w:pPr>
        <w:pStyle w:val="ListBullet"/>
        <w:bidi/>
        <w:spacing w:after="60"/>
        <w:jc w:val="right"/>
      </w:pPr>
      <w:r>
        <w:rPr>
          <w:rFonts w:ascii="Arial" w:hAnsi="Arial" w:cs="Arial"/>
          <w:b w:val="0"/>
          <w:rtl/>
        </w:rPr>
        <w:t>LBG time: تدريب الكودبوك فقط. Total: البرنامج كاملاً من البداية للنهاية (قراءة، LBG، هوفمان، فك، فلتر، مقاييس، كتابة ملفات).</w:t>
      </w:r>
    </w:p>
    <w:p>
      <w:pPr>
        <w:bidi/>
        <w:spacing w:after="80"/>
        <w:jc w:val="right"/>
      </w:pPr>
      <w:r>
        <w:rPr>
          <w:rFonts w:ascii="Arial" w:hAnsi="Arial" w:cs="Arial"/>
          <w:b/>
          <w:sz w:val="24"/>
          <w:rtl/>
        </w:rPr>
        <w:t>جدول الجودة (الإصدار v3)</w:t>
      </w:r>
    </w:p>
    <w:tbl>
      <w:tblPr>
        <w:tblStyle w:val="TableGrid"/>
        <w:bidiVisual/>
        <w:tblW w:type="auto" w:w="0"/>
        <w:tblLook w:firstColumn="1" w:firstRow="1" w:lastColumn="0" w:lastRow="0" w:noHBand="0" w:noVBand="1" w:val="04A0"/>
      </w:tblPr>
      <w:tblGrid>
        <w:gridCol w:w="1425"/>
        <w:gridCol w:w="1425"/>
        <w:gridCol w:w="1425"/>
        <w:gridCol w:w="1425"/>
        <w:gridCol w:w="1425"/>
        <w:gridCol w:w="1425"/>
        <w:gridCol w:w="1425"/>
      </w:tblGrid>
      <w:tr>
        <w:tc>
          <w:tcPr>
            <w:tcW w:type="dxa" w:w="2381"/>
            <w:shd w:val="clear" w:color="auto" w:fill="1F4E78"/>
          </w:tcPr>
          <w:p>
            <w:pPr>
              <w:jc w:val="center"/>
            </w:pPr>
            <w:r/>
            <w:r>
              <w:rPr>
                <w:b/>
                <w:color w:val="FFFFFF"/>
                <w:sz w:val="20"/>
              </w:rPr>
              <w:t>الصورة</w:t>
            </w:r>
          </w:p>
        </w:tc>
        <w:tc>
          <w:tcPr>
            <w:tcW w:type="dxa" w:w="1020"/>
            <w:shd w:val="clear" w:color="auto" w:fill="1F4E78"/>
          </w:tcPr>
          <w:p>
            <w:pPr>
              <w:jc w:val="center"/>
            </w:pPr>
            <w:r/>
            <w:r>
              <w:rPr>
                <w:b/>
                <w:color w:val="FFFFFF"/>
                <w:sz w:val="20"/>
              </w:rPr>
              <w:t>النوع</w:t>
            </w:r>
          </w:p>
        </w:tc>
        <w:tc>
          <w:tcPr>
            <w:tcW w:type="dxa" w:w="907"/>
            <w:shd w:val="clear" w:color="auto" w:fill="1F4E78"/>
          </w:tcPr>
          <w:p>
            <w:pPr>
              <w:jc w:val="center"/>
            </w:pPr>
            <w:r/>
            <w:r>
              <w:rPr>
                <w:b/>
                <w:color w:val="FFFFFF"/>
                <w:sz w:val="20"/>
              </w:rPr>
              <w:t>CR</w:t>
            </w:r>
          </w:p>
        </w:tc>
        <w:tc>
          <w:tcPr>
            <w:tcW w:type="dxa" w:w="964"/>
            <w:shd w:val="clear" w:color="auto" w:fill="1F4E78"/>
          </w:tcPr>
          <w:p>
            <w:pPr>
              <w:jc w:val="center"/>
            </w:pPr>
            <w:r/>
            <w:r>
              <w:rPr>
                <w:b/>
                <w:color w:val="FFFFFF"/>
                <w:sz w:val="20"/>
              </w:rPr>
              <w:t>MSE</w:t>
            </w:r>
          </w:p>
        </w:tc>
        <w:tc>
          <w:tcPr>
            <w:tcW w:type="dxa" w:w="1134"/>
            <w:shd w:val="clear" w:color="auto" w:fill="1F4E78"/>
          </w:tcPr>
          <w:p>
            <w:pPr>
              <w:jc w:val="center"/>
            </w:pPr>
            <w:r/>
            <w:r>
              <w:rPr>
                <w:b/>
                <w:color w:val="FFFFFF"/>
                <w:sz w:val="20"/>
              </w:rPr>
              <w:t>PSNR (dB)</w:t>
            </w:r>
          </w:p>
        </w:tc>
        <w:tc>
          <w:tcPr>
            <w:tcW w:type="dxa" w:w="1020"/>
            <w:shd w:val="clear" w:color="auto" w:fill="1F4E78"/>
          </w:tcPr>
          <w:p>
            <w:pPr>
              <w:jc w:val="center"/>
            </w:pPr>
            <w:r/>
            <w:r>
              <w:rPr>
                <w:b/>
                <w:color w:val="FFFFFF"/>
                <w:sz w:val="20"/>
              </w:rPr>
              <w:t>SSIM</w:t>
            </w:r>
          </w:p>
        </w:tc>
        <w:tc>
          <w:tcPr>
            <w:tcW w:type="dxa" w:w="1247"/>
            <w:shd w:val="clear" w:color="auto" w:fill="1F4E78"/>
          </w:tcPr>
          <w:p>
            <w:pPr>
              <w:jc w:val="center"/>
            </w:pPr>
            <w:r/>
            <w:r>
              <w:rPr>
                <w:b/>
                <w:color w:val="FFFFFF"/>
                <w:sz w:val="20"/>
              </w:rPr>
              <w:t>تكرارات LBG</w:t>
            </w:r>
          </w:p>
        </w:tc>
      </w:tr>
      <w:tr>
        <w:tc>
          <w:tcPr>
            <w:tcW w:type="dxa" w:w="2381"/>
          </w:tcPr>
          <w:p>
            <w:pPr>
              <w:jc w:val="center"/>
            </w:pPr>
            <w:r/>
            <w:r>
              <w:rPr>
                <w:sz w:val="20"/>
              </w:rPr>
              <w:t>Lena</w:t>
            </w:r>
          </w:p>
        </w:tc>
        <w:tc>
          <w:tcPr>
            <w:tcW w:type="dxa" w:w="1020"/>
          </w:tcPr>
          <w:p>
            <w:pPr>
              <w:jc w:val="center"/>
            </w:pPr>
            <w:r/>
            <w:r>
              <w:rPr>
                <w:sz w:val="20"/>
              </w:rPr>
              <w:t>رمادي</w:t>
            </w:r>
          </w:p>
        </w:tc>
        <w:tc>
          <w:tcPr>
            <w:tcW w:type="dxa" w:w="907"/>
          </w:tcPr>
          <w:p>
            <w:pPr>
              <w:jc w:val="center"/>
            </w:pPr>
            <w:r/>
            <w:r>
              <w:rPr>
                <w:sz w:val="20"/>
              </w:rPr>
              <w:t>23.50</w:t>
            </w:r>
          </w:p>
        </w:tc>
        <w:tc>
          <w:tcPr>
            <w:tcW w:type="dxa" w:w="964"/>
          </w:tcPr>
          <w:p>
            <w:pPr>
              <w:jc w:val="center"/>
            </w:pPr>
            <w:r/>
            <w:r>
              <w:rPr>
                <w:sz w:val="20"/>
              </w:rPr>
              <w:t>58.77</w:t>
            </w:r>
          </w:p>
        </w:tc>
        <w:tc>
          <w:tcPr>
            <w:tcW w:type="dxa" w:w="1134"/>
          </w:tcPr>
          <w:p>
            <w:pPr>
              <w:jc w:val="center"/>
            </w:pPr>
            <w:r/>
            <w:r>
              <w:rPr>
                <w:sz w:val="20"/>
              </w:rPr>
              <w:t>30.44</w:t>
            </w:r>
          </w:p>
        </w:tc>
        <w:tc>
          <w:tcPr>
            <w:tcW w:type="dxa" w:w="1020"/>
          </w:tcPr>
          <w:p>
            <w:pPr>
              <w:jc w:val="center"/>
            </w:pPr>
            <w:r/>
            <w:r>
              <w:rPr>
                <w:sz w:val="20"/>
              </w:rPr>
              <w:t>0.8431</w:t>
            </w:r>
          </w:p>
        </w:tc>
        <w:tc>
          <w:tcPr>
            <w:tcW w:type="dxa" w:w="1247"/>
          </w:tcPr>
          <w:p>
            <w:pPr>
              <w:jc w:val="center"/>
            </w:pPr>
            <w:r/>
            <w:r>
              <w:rPr>
                <w:sz w:val="20"/>
              </w:rPr>
              <w:t>160</w:t>
            </w:r>
          </w:p>
        </w:tc>
      </w:tr>
      <w:tr>
        <w:tc>
          <w:tcPr>
            <w:tcW w:type="dxa" w:w="2381"/>
          </w:tcPr>
          <w:p>
            <w:pPr>
              <w:jc w:val="center"/>
            </w:pPr>
            <w:r/>
            <w:r>
              <w:rPr>
                <w:sz w:val="20"/>
              </w:rPr>
              <w:t>Boat</w:t>
            </w:r>
          </w:p>
        </w:tc>
        <w:tc>
          <w:tcPr>
            <w:tcW w:type="dxa" w:w="1020"/>
          </w:tcPr>
          <w:p>
            <w:pPr>
              <w:jc w:val="center"/>
            </w:pPr>
            <w:r/>
            <w:r>
              <w:rPr>
                <w:sz w:val="20"/>
              </w:rPr>
              <w:t>رمادي</w:t>
            </w:r>
          </w:p>
        </w:tc>
        <w:tc>
          <w:tcPr>
            <w:tcW w:type="dxa" w:w="907"/>
          </w:tcPr>
          <w:p>
            <w:pPr>
              <w:jc w:val="center"/>
            </w:pPr>
            <w:r/>
            <w:r>
              <w:rPr>
                <w:sz w:val="20"/>
              </w:rPr>
              <w:t>26.54</w:t>
            </w:r>
          </w:p>
        </w:tc>
        <w:tc>
          <w:tcPr>
            <w:tcW w:type="dxa" w:w="964"/>
          </w:tcPr>
          <w:p>
            <w:pPr>
              <w:jc w:val="center"/>
            </w:pPr>
            <w:r/>
            <w:r>
              <w:rPr>
                <w:sz w:val="20"/>
              </w:rPr>
              <w:t>70.46</w:t>
            </w:r>
          </w:p>
        </w:tc>
        <w:tc>
          <w:tcPr>
            <w:tcW w:type="dxa" w:w="1134"/>
          </w:tcPr>
          <w:p>
            <w:pPr>
              <w:jc w:val="center"/>
            </w:pPr>
            <w:r/>
            <w:r>
              <w:rPr>
                <w:sz w:val="20"/>
              </w:rPr>
              <w:t>29.65</w:t>
            </w:r>
          </w:p>
        </w:tc>
        <w:tc>
          <w:tcPr>
            <w:tcW w:type="dxa" w:w="1020"/>
          </w:tcPr>
          <w:p>
            <w:pPr>
              <w:jc w:val="center"/>
            </w:pPr>
            <w:r/>
            <w:r>
              <w:rPr>
                <w:sz w:val="20"/>
              </w:rPr>
              <w:t>0.8522</w:t>
            </w:r>
          </w:p>
        </w:tc>
        <w:tc>
          <w:tcPr>
            <w:tcW w:type="dxa" w:w="1247"/>
          </w:tcPr>
          <w:p>
            <w:pPr>
              <w:jc w:val="center"/>
            </w:pPr>
            <w:r/>
            <w:r>
              <w:rPr>
                <w:sz w:val="20"/>
              </w:rPr>
              <w:t>151</w:t>
            </w:r>
          </w:p>
        </w:tc>
      </w:tr>
      <w:tr>
        <w:tc>
          <w:tcPr>
            <w:tcW w:type="dxa" w:w="2381"/>
          </w:tcPr>
          <w:p>
            <w:pPr>
              <w:jc w:val="center"/>
            </w:pPr>
            <w:r/>
            <w:r>
              <w:rPr>
                <w:sz w:val="20"/>
              </w:rPr>
              <w:t>Cameraman</w:t>
            </w:r>
          </w:p>
        </w:tc>
        <w:tc>
          <w:tcPr>
            <w:tcW w:type="dxa" w:w="1020"/>
          </w:tcPr>
          <w:p>
            <w:pPr>
              <w:jc w:val="center"/>
            </w:pPr>
            <w:r/>
            <w:r>
              <w:rPr>
                <w:sz w:val="20"/>
              </w:rPr>
              <w:t>رمادي</w:t>
            </w:r>
          </w:p>
        </w:tc>
        <w:tc>
          <w:tcPr>
            <w:tcW w:type="dxa" w:w="907"/>
          </w:tcPr>
          <w:p>
            <w:pPr>
              <w:jc w:val="center"/>
            </w:pPr>
            <w:r/>
            <w:r>
              <w:rPr>
                <w:sz w:val="20"/>
              </w:rPr>
              <w:t>28.88</w:t>
            </w:r>
          </w:p>
        </w:tc>
        <w:tc>
          <w:tcPr>
            <w:tcW w:type="dxa" w:w="964"/>
          </w:tcPr>
          <w:p>
            <w:pPr>
              <w:jc w:val="center"/>
            </w:pPr>
            <w:r/>
            <w:r>
              <w:rPr>
                <w:sz w:val="20"/>
              </w:rPr>
              <w:t>56.66</w:t>
            </w:r>
          </w:p>
        </w:tc>
        <w:tc>
          <w:tcPr>
            <w:tcW w:type="dxa" w:w="1134"/>
          </w:tcPr>
          <w:p>
            <w:pPr>
              <w:jc w:val="center"/>
            </w:pPr>
            <w:r/>
            <w:r>
              <w:rPr>
                <w:sz w:val="20"/>
              </w:rPr>
              <w:t>30.60</w:t>
            </w:r>
          </w:p>
        </w:tc>
        <w:tc>
          <w:tcPr>
            <w:tcW w:type="dxa" w:w="1020"/>
          </w:tcPr>
          <w:p>
            <w:pPr>
              <w:jc w:val="center"/>
            </w:pPr>
            <w:r/>
            <w:r>
              <w:rPr>
                <w:sz w:val="20"/>
              </w:rPr>
              <w:t>0.9031</w:t>
            </w:r>
          </w:p>
        </w:tc>
        <w:tc>
          <w:tcPr>
            <w:tcW w:type="dxa" w:w="1247"/>
          </w:tcPr>
          <w:p>
            <w:pPr>
              <w:jc w:val="center"/>
            </w:pPr>
            <w:r/>
            <w:r>
              <w:rPr>
                <w:sz w:val="20"/>
              </w:rPr>
              <w:t>155</w:t>
            </w:r>
          </w:p>
        </w:tc>
      </w:tr>
      <w:tr>
        <w:tc>
          <w:tcPr>
            <w:tcW w:type="dxa" w:w="2381"/>
          </w:tcPr>
          <w:p>
            <w:pPr>
              <w:jc w:val="center"/>
            </w:pPr>
            <w:r/>
            <w:r>
              <w:rPr>
                <w:sz w:val="20"/>
              </w:rPr>
              <w:t>Peppers</w:t>
            </w:r>
          </w:p>
        </w:tc>
        <w:tc>
          <w:tcPr>
            <w:tcW w:type="dxa" w:w="1020"/>
          </w:tcPr>
          <w:p>
            <w:pPr>
              <w:jc w:val="center"/>
            </w:pPr>
            <w:r/>
            <w:r>
              <w:rPr>
                <w:sz w:val="20"/>
              </w:rPr>
              <w:t>رمادي</w:t>
            </w:r>
          </w:p>
        </w:tc>
        <w:tc>
          <w:tcPr>
            <w:tcW w:type="dxa" w:w="907"/>
          </w:tcPr>
          <w:p>
            <w:pPr>
              <w:jc w:val="center"/>
            </w:pPr>
            <w:r/>
            <w:r>
              <w:rPr>
                <w:sz w:val="20"/>
              </w:rPr>
              <w:t>24.75</w:t>
            </w:r>
          </w:p>
        </w:tc>
        <w:tc>
          <w:tcPr>
            <w:tcW w:type="dxa" w:w="964"/>
          </w:tcPr>
          <w:p>
            <w:pPr>
              <w:jc w:val="center"/>
            </w:pPr>
            <w:r/>
            <w:r>
              <w:rPr>
                <w:sz w:val="20"/>
              </w:rPr>
              <w:t>61.51</w:t>
            </w:r>
          </w:p>
        </w:tc>
        <w:tc>
          <w:tcPr>
            <w:tcW w:type="dxa" w:w="1134"/>
          </w:tcPr>
          <w:p>
            <w:pPr>
              <w:jc w:val="center"/>
            </w:pPr>
            <w:r/>
            <w:r>
              <w:rPr>
                <w:sz w:val="20"/>
              </w:rPr>
              <w:t>30.24</w:t>
            </w:r>
          </w:p>
        </w:tc>
        <w:tc>
          <w:tcPr>
            <w:tcW w:type="dxa" w:w="1020"/>
          </w:tcPr>
          <w:p>
            <w:pPr>
              <w:jc w:val="center"/>
            </w:pPr>
            <w:r/>
            <w:r>
              <w:rPr>
                <w:sz w:val="20"/>
              </w:rPr>
              <w:t>0.7875</w:t>
            </w:r>
          </w:p>
        </w:tc>
        <w:tc>
          <w:tcPr>
            <w:tcW w:type="dxa" w:w="1247"/>
          </w:tcPr>
          <w:p>
            <w:pPr>
              <w:jc w:val="center"/>
            </w:pPr>
            <w:r/>
            <w:r>
              <w:rPr>
                <w:sz w:val="20"/>
              </w:rPr>
              <w:t>132</w:t>
            </w:r>
          </w:p>
        </w:tc>
      </w:tr>
      <w:tr>
        <w:tc>
          <w:tcPr>
            <w:tcW w:type="dxa" w:w="2381"/>
          </w:tcPr>
          <w:p>
            <w:pPr>
              <w:jc w:val="center"/>
            </w:pPr>
            <w:r/>
            <w:r>
              <w:rPr>
                <w:sz w:val="20"/>
              </w:rPr>
              <w:t>Chest X-ray</w:t>
            </w:r>
          </w:p>
        </w:tc>
        <w:tc>
          <w:tcPr>
            <w:tcW w:type="dxa" w:w="1020"/>
          </w:tcPr>
          <w:p>
            <w:pPr>
              <w:jc w:val="center"/>
            </w:pPr>
            <w:r/>
            <w:r>
              <w:rPr>
                <w:sz w:val="20"/>
              </w:rPr>
              <w:t>رمادي</w:t>
            </w:r>
          </w:p>
        </w:tc>
        <w:tc>
          <w:tcPr>
            <w:tcW w:type="dxa" w:w="907"/>
          </w:tcPr>
          <w:p>
            <w:pPr>
              <w:jc w:val="center"/>
            </w:pPr>
            <w:r/>
            <w:r>
              <w:rPr>
                <w:sz w:val="20"/>
              </w:rPr>
              <w:t>23.39</w:t>
            </w:r>
          </w:p>
        </w:tc>
        <w:tc>
          <w:tcPr>
            <w:tcW w:type="dxa" w:w="964"/>
          </w:tcPr>
          <w:p>
            <w:pPr>
              <w:jc w:val="center"/>
            </w:pPr>
            <w:r/>
            <w:r>
              <w:rPr>
                <w:sz w:val="20"/>
              </w:rPr>
              <w:t>25.05</w:t>
            </w:r>
          </w:p>
        </w:tc>
        <w:tc>
          <w:tcPr>
            <w:tcW w:type="dxa" w:w="1134"/>
          </w:tcPr>
          <w:p>
            <w:pPr>
              <w:jc w:val="center"/>
            </w:pPr>
            <w:r/>
            <w:r>
              <w:rPr>
                <w:sz w:val="20"/>
              </w:rPr>
              <w:t>34.14</w:t>
            </w:r>
          </w:p>
        </w:tc>
        <w:tc>
          <w:tcPr>
            <w:tcW w:type="dxa" w:w="1020"/>
          </w:tcPr>
          <w:p>
            <w:pPr>
              <w:jc w:val="center"/>
            </w:pPr>
            <w:r/>
            <w:r>
              <w:rPr>
                <w:sz w:val="20"/>
              </w:rPr>
              <w:t>0.8890</w:t>
            </w:r>
          </w:p>
        </w:tc>
        <w:tc>
          <w:tcPr>
            <w:tcW w:type="dxa" w:w="1247"/>
          </w:tcPr>
          <w:p>
            <w:pPr>
              <w:jc w:val="center"/>
            </w:pPr>
            <w:r/>
            <w:r>
              <w:rPr>
                <w:sz w:val="20"/>
              </w:rPr>
              <w:t>125</w:t>
            </w:r>
          </w:p>
        </w:tc>
      </w:tr>
      <w:tr>
        <w:tc>
          <w:tcPr>
            <w:tcW w:type="dxa" w:w="2381"/>
          </w:tcPr>
          <w:p>
            <w:pPr>
              <w:jc w:val="center"/>
            </w:pPr>
            <w:r/>
            <w:r>
              <w:rPr>
                <w:sz w:val="20"/>
              </w:rPr>
              <w:t>Mammogram</w:t>
            </w:r>
          </w:p>
        </w:tc>
        <w:tc>
          <w:tcPr>
            <w:tcW w:type="dxa" w:w="1020"/>
          </w:tcPr>
          <w:p>
            <w:pPr>
              <w:jc w:val="center"/>
            </w:pPr>
            <w:r/>
            <w:r>
              <w:rPr>
                <w:sz w:val="20"/>
              </w:rPr>
              <w:t>رمادي</w:t>
            </w:r>
          </w:p>
        </w:tc>
        <w:tc>
          <w:tcPr>
            <w:tcW w:type="dxa" w:w="907"/>
          </w:tcPr>
          <w:p>
            <w:pPr>
              <w:jc w:val="center"/>
            </w:pPr>
            <w:r/>
            <w:r>
              <w:rPr>
                <w:sz w:val="20"/>
              </w:rPr>
              <w:t>31.56</w:t>
            </w:r>
          </w:p>
        </w:tc>
        <w:tc>
          <w:tcPr>
            <w:tcW w:type="dxa" w:w="964"/>
          </w:tcPr>
          <w:p>
            <w:pPr>
              <w:jc w:val="center"/>
            </w:pPr>
            <w:r/>
            <w:r>
              <w:rPr>
                <w:sz w:val="20"/>
              </w:rPr>
              <w:t>13.81</w:t>
            </w:r>
          </w:p>
        </w:tc>
        <w:tc>
          <w:tcPr>
            <w:tcW w:type="dxa" w:w="1134"/>
          </w:tcPr>
          <w:p>
            <w:pPr>
              <w:jc w:val="center"/>
            </w:pPr>
            <w:r/>
            <w:r>
              <w:rPr>
                <w:sz w:val="20"/>
              </w:rPr>
              <w:t>36.73</w:t>
            </w:r>
          </w:p>
        </w:tc>
        <w:tc>
          <w:tcPr>
            <w:tcW w:type="dxa" w:w="1020"/>
          </w:tcPr>
          <w:p>
            <w:pPr>
              <w:jc w:val="center"/>
            </w:pPr>
            <w:r/>
            <w:r>
              <w:rPr>
                <w:sz w:val="20"/>
              </w:rPr>
              <w:t>0.9392</w:t>
            </w:r>
          </w:p>
        </w:tc>
        <w:tc>
          <w:tcPr>
            <w:tcW w:type="dxa" w:w="1247"/>
          </w:tcPr>
          <w:p>
            <w:pPr>
              <w:jc w:val="center"/>
            </w:pPr>
            <w:r/>
            <w:r>
              <w:rPr>
                <w:sz w:val="20"/>
              </w:rPr>
              <w:t>98</w:t>
            </w:r>
          </w:p>
        </w:tc>
      </w:tr>
      <w:tr>
        <w:tc>
          <w:tcPr>
            <w:tcW w:type="dxa" w:w="2381"/>
          </w:tcPr>
          <w:p>
            <w:pPr>
              <w:jc w:val="center"/>
            </w:pPr>
            <w:r/>
            <w:r>
              <w:rPr>
                <w:sz w:val="20"/>
              </w:rPr>
              <w:t>Lung CT</w:t>
            </w:r>
          </w:p>
        </w:tc>
        <w:tc>
          <w:tcPr>
            <w:tcW w:type="dxa" w:w="1020"/>
          </w:tcPr>
          <w:p>
            <w:pPr>
              <w:jc w:val="center"/>
            </w:pPr>
            <w:r/>
            <w:r>
              <w:rPr>
                <w:sz w:val="20"/>
              </w:rPr>
              <w:t>رمادي</w:t>
            </w:r>
          </w:p>
        </w:tc>
        <w:tc>
          <w:tcPr>
            <w:tcW w:type="dxa" w:w="907"/>
          </w:tcPr>
          <w:p>
            <w:pPr>
              <w:jc w:val="center"/>
            </w:pPr>
            <w:r/>
            <w:r>
              <w:rPr>
                <w:sz w:val="20"/>
              </w:rPr>
              <w:t>24.63</w:t>
            </w:r>
          </w:p>
        </w:tc>
        <w:tc>
          <w:tcPr>
            <w:tcW w:type="dxa" w:w="964"/>
          </w:tcPr>
          <w:p>
            <w:pPr>
              <w:jc w:val="center"/>
            </w:pPr>
            <w:r/>
            <w:r>
              <w:rPr>
                <w:sz w:val="20"/>
              </w:rPr>
              <w:t>83.81</w:t>
            </w:r>
          </w:p>
        </w:tc>
        <w:tc>
          <w:tcPr>
            <w:tcW w:type="dxa" w:w="1134"/>
          </w:tcPr>
          <w:p>
            <w:pPr>
              <w:jc w:val="center"/>
            </w:pPr>
            <w:r/>
            <w:r>
              <w:rPr>
                <w:sz w:val="20"/>
              </w:rPr>
              <w:t>28.90</w:t>
            </w:r>
          </w:p>
        </w:tc>
        <w:tc>
          <w:tcPr>
            <w:tcW w:type="dxa" w:w="1020"/>
          </w:tcPr>
          <w:p>
            <w:pPr>
              <w:jc w:val="center"/>
            </w:pPr>
            <w:r/>
            <w:r>
              <w:rPr>
                <w:sz w:val="20"/>
              </w:rPr>
              <w:t>0.8666</w:t>
            </w:r>
          </w:p>
        </w:tc>
        <w:tc>
          <w:tcPr>
            <w:tcW w:type="dxa" w:w="1247"/>
          </w:tcPr>
          <w:p>
            <w:pPr>
              <w:jc w:val="center"/>
            </w:pPr>
            <w:r/>
            <w:r>
              <w:rPr>
                <w:sz w:val="20"/>
              </w:rPr>
              <w:t>197</w:t>
            </w:r>
          </w:p>
        </w:tc>
      </w:tr>
      <w:tr>
        <w:tc>
          <w:tcPr>
            <w:tcW w:type="dxa" w:w="2381"/>
          </w:tcPr>
          <w:p>
            <w:pPr>
              <w:jc w:val="center"/>
            </w:pPr>
            <w:r/>
            <w:r>
              <w:rPr>
                <w:sz w:val="20"/>
              </w:rPr>
              <w:t>Brain MRI</w:t>
            </w:r>
          </w:p>
        </w:tc>
        <w:tc>
          <w:tcPr>
            <w:tcW w:type="dxa" w:w="1020"/>
          </w:tcPr>
          <w:p>
            <w:pPr>
              <w:jc w:val="center"/>
            </w:pPr>
            <w:r/>
            <w:r>
              <w:rPr>
                <w:sz w:val="20"/>
              </w:rPr>
              <w:t>رمادي</w:t>
            </w:r>
          </w:p>
        </w:tc>
        <w:tc>
          <w:tcPr>
            <w:tcW w:type="dxa" w:w="907"/>
          </w:tcPr>
          <w:p>
            <w:pPr>
              <w:jc w:val="center"/>
            </w:pPr>
            <w:r/>
            <w:r>
              <w:rPr>
                <w:sz w:val="20"/>
              </w:rPr>
              <w:t>33.49</w:t>
            </w:r>
          </w:p>
        </w:tc>
        <w:tc>
          <w:tcPr>
            <w:tcW w:type="dxa" w:w="964"/>
          </w:tcPr>
          <w:p>
            <w:pPr>
              <w:jc w:val="center"/>
            </w:pPr>
            <w:r/>
            <w:r>
              <w:rPr>
                <w:sz w:val="20"/>
              </w:rPr>
              <w:t>23.08</w:t>
            </w:r>
          </w:p>
        </w:tc>
        <w:tc>
          <w:tcPr>
            <w:tcW w:type="dxa" w:w="1134"/>
          </w:tcPr>
          <w:p>
            <w:pPr>
              <w:jc w:val="center"/>
            </w:pPr>
            <w:r/>
            <w:r>
              <w:rPr>
                <w:sz w:val="20"/>
              </w:rPr>
              <w:t>34.50</w:t>
            </w:r>
          </w:p>
        </w:tc>
        <w:tc>
          <w:tcPr>
            <w:tcW w:type="dxa" w:w="1020"/>
          </w:tcPr>
          <w:p>
            <w:pPr>
              <w:jc w:val="center"/>
            </w:pPr>
            <w:r/>
            <w:r>
              <w:rPr>
                <w:sz w:val="20"/>
              </w:rPr>
              <w:t>0.9474</w:t>
            </w:r>
          </w:p>
        </w:tc>
        <w:tc>
          <w:tcPr>
            <w:tcW w:type="dxa" w:w="1247"/>
          </w:tcPr>
          <w:p>
            <w:pPr>
              <w:jc w:val="center"/>
            </w:pPr>
            <w:r/>
            <w:r>
              <w:rPr>
                <w:sz w:val="20"/>
              </w:rPr>
              <w:t>142</w:t>
            </w:r>
          </w:p>
        </w:tc>
      </w:tr>
      <w:tr>
        <w:tc>
          <w:tcPr>
            <w:tcW w:type="dxa" w:w="2381"/>
          </w:tcPr>
          <w:p>
            <w:pPr>
              <w:jc w:val="center"/>
            </w:pPr>
            <w:r/>
            <w:r>
              <w:rPr>
                <w:sz w:val="20"/>
              </w:rPr>
              <w:t>Lena Color</w:t>
            </w:r>
          </w:p>
        </w:tc>
        <w:tc>
          <w:tcPr>
            <w:tcW w:type="dxa" w:w="1020"/>
          </w:tcPr>
          <w:p>
            <w:pPr>
              <w:jc w:val="center"/>
            </w:pPr>
            <w:r/>
            <w:r>
              <w:rPr>
                <w:sz w:val="20"/>
              </w:rPr>
              <w:t>ملوّن</w:t>
            </w:r>
          </w:p>
        </w:tc>
        <w:tc>
          <w:tcPr>
            <w:tcW w:type="dxa" w:w="907"/>
          </w:tcPr>
          <w:p>
            <w:pPr>
              <w:jc w:val="center"/>
            </w:pPr>
            <w:r/>
            <w:r>
              <w:rPr>
                <w:sz w:val="20"/>
              </w:rPr>
              <w:t>24.00</w:t>
            </w:r>
          </w:p>
        </w:tc>
        <w:tc>
          <w:tcPr>
            <w:tcW w:type="dxa" w:w="964"/>
          </w:tcPr>
          <w:p>
            <w:pPr>
              <w:jc w:val="center"/>
            </w:pPr>
            <w:r/>
            <w:r>
              <w:rPr>
                <w:sz w:val="20"/>
              </w:rPr>
              <w:t>75.25</w:t>
            </w:r>
          </w:p>
        </w:tc>
        <w:tc>
          <w:tcPr>
            <w:tcW w:type="dxa" w:w="1134"/>
          </w:tcPr>
          <w:p>
            <w:pPr>
              <w:jc w:val="center"/>
            </w:pPr>
            <w:r/>
            <w:r>
              <w:rPr>
                <w:sz w:val="20"/>
              </w:rPr>
              <w:t>29.37</w:t>
            </w:r>
          </w:p>
        </w:tc>
        <w:tc>
          <w:tcPr>
            <w:tcW w:type="dxa" w:w="1020"/>
          </w:tcPr>
          <w:p>
            <w:pPr>
              <w:jc w:val="center"/>
            </w:pPr>
            <w:r/>
            <w:r>
              <w:rPr>
                <w:sz w:val="20"/>
              </w:rPr>
              <w:t>0.7733</w:t>
            </w:r>
          </w:p>
        </w:tc>
        <w:tc>
          <w:tcPr>
            <w:tcW w:type="dxa" w:w="1247"/>
          </w:tcPr>
          <w:p>
            <w:pPr>
              <w:jc w:val="center"/>
            </w:pPr>
            <w:r/>
            <w:r>
              <w:rPr>
                <w:sz w:val="20"/>
              </w:rPr>
              <w:t>476</w:t>
            </w:r>
          </w:p>
        </w:tc>
      </w:tr>
      <w:tr>
        <w:tc>
          <w:tcPr>
            <w:tcW w:type="dxa" w:w="2381"/>
          </w:tcPr>
          <w:p>
            <w:pPr>
              <w:jc w:val="center"/>
            </w:pPr>
            <w:r/>
            <w:r>
              <w:rPr>
                <w:sz w:val="20"/>
              </w:rPr>
              <w:t>Retina</w:t>
            </w:r>
          </w:p>
        </w:tc>
        <w:tc>
          <w:tcPr>
            <w:tcW w:type="dxa" w:w="1020"/>
          </w:tcPr>
          <w:p>
            <w:pPr>
              <w:jc w:val="center"/>
            </w:pPr>
            <w:r/>
            <w:r>
              <w:rPr>
                <w:sz w:val="20"/>
              </w:rPr>
              <w:t>ملوّن</w:t>
            </w:r>
          </w:p>
        </w:tc>
        <w:tc>
          <w:tcPr>
            <w:tcW w:type="dxa" w:w="907"/>
          </w:tcPr>
          <w:p>
            <w:pPr>
              <w:jc w:val="center"/>
            </w:pPr>
            <w:r/>
            <w:r>
              <w:rPr>
                <w:sz w:val="20"/>
              </w:rPr>
              <w:t>34.07</w:t>
            </w:r>
          </w:p>
        </w:tc>
        <w:tc>
          <w:tcPr>
            <w:tcW w:type="dxa" w:w="964"/>
          </w:tcPr>
          <w:p>
            <w:pPr>
              <w:jc w:val="center"/>
            </w:pPr>
            <w:r/>
            <w:r>
              <w:rPr>
                <w:sz w:val="20"/>
              </w:rPr>
              <w:t>5.97</w:t>
            </w:r>
          </w:p>
        </w:tc>
        <w:tc>
          <w:tcPr>
            <w:tcW w:type="dxa" w:w="1134"/>
          </w:tcPr>
          <w:p>
            <w:pPr>
              <w:jc w:val="center"/>
            </w:pPr>
            <w:r/>
            <w:r>
              <w:rPr>
                <w:sz w:val="20"/>
              </w:rPr>
              <w:t>40.37</w:t>
            </w:r>
          </w:p>
        </w:tc>
        <w:tc>
          <w:tcPr>
            <w:tcW w:type="dxa" w:w="1020"/>
          </w:tcPr>
          <w:p>
            <w:pPr>
              <w:jc w:val="center"/>
            </w:pPr>
            <w:r/>
            <w:r>
              <w:rPr>
                <w:sz w:val="20"/>
              </w:rPr>
              <w:t>0.9541</w:t>
            </w:r>
          </w:p>
        </w:tc>
        <w:tc>
          <w:tcPr>
            <w:tcW w:type="dxa" w:w="1247"/>
          </w:tcPr>
          <w:p>
            <w:pPr>
              <w:jc w:val="center"/>
            </w:pPr>
            <w:r/>
            <w:r>
              <w:rPr>
                <w:sz w:val="20"/>
              </w:rPr>
              <w:t>493</w:t>
            </w:r>
          </w:p>
        </w:tc>
      </w:tr>
      <w:tr>
        <w:tc>
          <w:tcPr>
            <w:tcW w:type="dxa" w:w="2381"/>
          </w:tcPr>
          <w:p>
            <w:pPr>
              <w:jc w:val="center"/>
            </w:pPr>
            <w:r/>
            <w:r>
              <w:rPr>
                <w:sz w:val="20"/>
              </w:rPr>
              <w:t>PET Axial</w:t>
            </w:r>
          </w:p>
        </w:tc>
        <w:tc>
          <w:tcPr>
            <w:tcW w:type="dxa" w:w="1020"/>
          </w:tcPr>
          <w:p>
            <w:pPr>
              <w:jc w:val="center"/>
            </w:pPr>
            <w:r/>
            <w:r>
              <w:rPr>
                <w:sz w:val="20"/>
              </w:rPr>
              <w:t>ملوّن</w:t>
            </w:r>
          </w:p>
        </w:tc>
        <w:tc>
          <w:tcPr>
            <w:tcW w:type="dxa" w:w="907"/>
          </w:tcPr>
          <w:p>
            <w:pPr>
              <w:jc w:val="center"/>
            </w:pPr>
            <w:r/>
            <w:r>
              <w:rPr>
                <w:sz w:val="20"/>
              </w:rPr>
              <w:t>25.05</w:t>
            </w:r>
          </w:p>
        </w:tc>
        <w:tc>
          <w:tcPr>
            <w:tcW w:type="dxa" w:w="964"/>
          </w:tcPr>
          <w:p>
            <w:pPr>
              <w:jc w:val="center"/>
            </w:pPr>
            <w:r/>
            <w:r>
              <w:rPr>
                <w:sz w:val="20"/>
              </w:rPr>
              <w:t>94.94</w:t>
            </w:r>
          </w:p>
        </w:tc>
        <w:tc>
          <w:tcPr>
            <w:tcW w:type="dxa" w:w="1134"/>
          </w:tcPr>
          <w:p>
            <w:pPr>
              <w:jc w:val="center"/>
            </w:pPr>
            <w:r/>
            <w:r>
              <w:rPr>
                <w:sz w:val="20"/>
              </w:rPr>
              <w:t>28.36</w:t>
            </w:r>
          </w:p>
        </w:tc>
        <w:tc>
          <w:tcPr>
            <w:tcW w:type="dxa" w:w="1020"/>
          </w:tcPr>
          <w:p>
            <w:pPr>
              <w:jc w:val="center"/>
            </w:pPr>
            <w:r/>
            <w:r>
              <w:rPr>
                <w:sz w:val="20"/>
              </w:rPr>
              <w:t>0.8793</w:t>
            </w:r>
          </w:p>
        </w:tc>
        <w:tc>
          <w:tcPr>
            <w:tcW w:type="dxa" w:w="1247"/>
          </w:tcPr>
          <w:p>
            <w:pPr>
              <w:jc w:val="center"/>
            </w:pPr>
            <w:r/>
            <w:r>
              <w:rPr>
                <w:sz w:val="20"/>
              </w:rPr>
              <w:t>495</w:t>
            </w:r>
          </w:p>
        </w:tc>
      </w:tr>
      <w:tr>
        <w:tc>
          <w:tcPr>
            <w:tcW w:type="dxa" w:w="2381"/>
          </w:tcPr>
          <w:p>
            <w:pPr>
              <w:jc w:val="center"/>
            </w:pPr>
            <w:r/>
            <w:r>
              <w:rPr>
                <w:sz w:val="20"/>
              </w:rPr>
              <w:t>PET Sagittal</w:t>
            </w:r>
          </w:p>
        </w:tc>
        <w:tc>
          <w:tcPr>
            <w:tcW w:type="dxa" w:w="1020"/>
          </w:tcPr>
          <w:p>
            <w:pPr>
              <w:jc w:val="center"/>
            </w:pPr>
            <w:r/>
            <w:r>
              <w:rPr>
                <w:sz w:val="20"/>
              </w:rPr>
              <w:t>ملوّن</w:t>
            </w:r>
          </w:p>
        </w:tc>
        <w:tc>
          <w:tcPr>
            <w:tcW w:type="dxa" w:w="907"/>
          </w:tcPr>
          <w:p>
            <w:pPr>
              <w:jc w:val="center"/>
            </w:pPr>
            <w:r/>
            <w:r>
              <w:rPr>
                <w:sz w:val="20"/>
              </w:rPr>
              <w:t>22.24</w:t>
            </w:r>
          </w:p>
        </w:tc>
        <w:tc>
          <w:tcPr>
            <w:tcW w:type="dxa" w:w="964"/>
          </w:tcPr>
          <w:p>
            <w:pPr>
              <w:jc w:val="center"/>
            </w:pPr>
            <w:r/>
            <w:r>
              <w:rPr>
                <w:sz w:val="20"/>
              </w:rPr>
              <w:t>53.82</w:t>
            </w:r>
          </w:p>
        </w:tc>
        <w:tc>
          <w:tcPr>
            <w:tcW w:type="dxa" w:w="1134"/>
          </w:tcPr>
          <w:p>
            <w:pPr>
              <w:jc w:val="center"/>
            </w:pPr>
            <w:r/>
            <w:r>
              <w:rPr>
                <w:sz w:val="20"/>
              </w:rPr>
              <w:t>30.82</w:t>
            </w:r>
          </w:p>
        </w:tc>
        <w:tc>
          <w:tcPr>
            <w:tcW w:type="dxa" w:w="1020"/>
          </w:tcPr>
          <w:p>
            <w:pPr>
              <w:jc w:val="center"/>
            </w:pPr>
            <w:r/>
            <w:r>
              <w:rPr>
                <w:sz w:val="20"/>
              </w:rPr>
              <w:t>0.8995</w:t>
            </w:r>
          </w:p>
        </w:tc>
        <w:tc>
          <w:tcPr>
            <w:tcW w:type="dxa" w:w="1247"/>
          </w:tcPr>
          <w:p>
            <w:pPr>
              <w:jc w:val="center"/>
            </w:pPr>
            <w:r/>
            <w:r>
              <w:rPr>
                <w:sz w:val="20"/>
              </w:rPr>
              <w:t>502</w:t>
            </w:r>
          </w:p>
        </w:tc>
      </w:tr>
      <w:tr>
        <w:tc>
          <w:tcPr>
            <w:tcW w:type="dxa" w:w="2381"/>
          </w:tcPr>
          <w:p>
            <w:pPr>
              <w:jc w:val="center"/>
            </w:pPr>
            <w:r/>
            <w:r>
              <w:rPr>
                <w:sz w:val="20"/>
              </w:rPr>
              <w:t>المتوسط (12 صورة)</w:t>
            </w:r>
          </w:p>
        </w:tc>
        <w:tc>
          <w:tcPr>
            <w:tcW w:type="dxa" w:w="1020"/>
          </w:tcPr>
          <w:p>
            <w:pPr>
              <w:jc w:val="center"/>
            </w:pPr>
            <w:r/>
            <w:r>
              <w:rPr>
                <w:sz w:val="20"/>
              </w:rPr>
            </w:r>
          </w:p>
        </w:tc>
        <w:tc>
          <w:tcPr>
            <w:tcW w:type="dxa" w:w="907"/>
          </w:tcPr>
          <w:p>
            <w:pPr>
              <w:jc w:val="center"/>
            </w:pPr>
            <w:r/>
            <w:r>
              <w:rPr>
                <w:sz w:val="20"/>
              </w:rPr>
              <w:t>26.84</w:t>
            </w:r>
          </w:p>
        </w:tc>
        <w:tc>
          <w:tcPr>
            <w:tcW w:type="dxa" w:w="964"/>
          </w:tcPr>
          <w:p>
            <w:pPr>
              <w:jc w:val="center"/>
            </w:pPr>
            <w:r/>
            <w:r>
              <w:rPr>
                <w:sz w:val="20"/>
              </w:rPr>
              <w:t>51.93</w:t>
            </w:r>
          </w:p>
        </w:tc>
        <w:tc>
          <w:tcPr>
            <w:tcW w:type="dxa" w:w="1134"/>
          </w:tcPr>
          <w:p>
            <w:pPr>
              <w:jc w:val="center"/>
            </w:pPr>
            <w:r/>
            <w:r>
              <w:rPr>
                <w:sz w:val="20"/>
              </w:rPr>
              <w:t>32.01</w:t>
            </w:r>
          </w:p>
        </w:tc>
        <w:tc>
          <w:tcPr>
            <w:tcW w:type="dxa" w:w="1020"/>
          </w:tcPr>
          <w:p>
            <w:pPr>
              <w:jc w:val="center"/>
            </w:pPr>
            <w:r/>
            <w:r>
              <w:rPr>
                <w:sz w:val="20"/>
              </w:rPr>
              <w:t>0.8779</w:t>
            </w:r>
          </w:p>
        </w:tc>
        <w:tc>
          <w:tcPr>
            <w:tcW w:type="dxa" w:w="1247"/>
          </w:tcPr>
          <w:p>
            <w:pPr>
              <w:jc w:val="center"/>
            </w:pPr>
            <w:r/>
            <w:r>
              <w:rPr>
                <w:sz w:val="20"/>
              </w:rPr>
            </w:r>
          </w:p>
        </w:tc>
      </w:tr>
      <w:tr>
        <w:tc>
          <w:tcPr>
            <w:tcW w:type="dxa" w:w="2381"/>
          </w:tcPr>
          <w:p>
            <w:pPr>
              <w:jc w:val="center"/>
            </w:pPr>
            <w:r/>
            <w:r>
              <w:rPr>
                <w:sz w:val="20"/>
              </w:rPr>
              <w:t>المتوسط (الصور الأربع في الورقتين)</w:t>
            </w:r>
          </w:p>
        </w:tc>
        <w:tc>
          <w:tcPr>
            <w:tcW w:type="dxa" w:w="1020"/>
          </w:tcPr>
          <w:p>
            <w:pPr>
              <w:jc w:val="center"/>
            </w:pPr>
            <w:r/>
            <w:r>
              <w:rPr>
                <w:sz w:val="20"/>
              </w:rPr>
            </w:r>
          </w:p>
        </w:tc>
        <w:tc>
          <w:tcPr>
            <w:tcW w:type="dxa" w:w="907"/>
          </w:tcPr>
          <w:p>
            <w:pPr>
              <w:jc w:val="center"/>
            </w:pPr>
            <w:r/>
            <w:r>
              <w:rPr>
                <w:sz w:val="20"/>
              </w:rPr>
              <w:t>25.92</w:t>
            </w:r>
          </w:p>
        </w:tc>
        <w:tc>
          <w:tcPr>
            <w:tcW w:type="dxa" w:w="964"/>
          </w:tcPr>
          <w:p>
            <w:pPr>
              <w:jc w:val="center"/>
            </w:pPr>
            <w:r/>
            <w:r>
              <w:rPr>
                <w:sz w:val="20"/>
              </w:rPr>
              <w:t>61.85</w:t>
            </w:r>
          </w:p>
        </w:tc>
        <w:tc>
          <w:tcPr>
            <w:tcW w:type="dxa" w:w="1134"/>
          </w:tcPr>
          <w:p>
            <w:pPr>
              <w:jc w:val="center"/>
            </w:pPr>
            <w:r/>
            <w:r>
              <w:rPr>
                <w:sz w:val="20"/>
              </w:rPr>
              <w:t>30.23</w:t>
            </w:r>
          </w:p>
        </w:tc>
        <w:tc>
          <w:tcPr>
            <w:tcW w:type="dxa" w:w="1020"/>
          </w:tcPr>
          <w:p>
            <w:pPr>
              <w:jc w:val="center"/>
            </w:pPr>
            <w:r/>
            <w:r>
              <w:rPr>
                <w:sz w:val="20"/>
              </w:rPr>
              <w:t>0.8465</w:t>
            </w:r>
          </w:p>
        </w:tc>
        <w:tc>
          <w:tcPr>
            <w:tcW w:type="dxa" w:w="1247"/>
          </w:tcPr>
          <w:p>
            <w:pPr>
              <w:jc w:val="center"/>
            </w:pPr>
            <w:r/>
            <w:r>
              <w:rPr>
                <w:sz w:val="20"/>
              </w:rPr>
            </w:r>
          </w:p>
        </w:tc>
      </w:tr>
    </w:tbl>
    <w:p>
      <w:pPr>
        <w:spacing w:after="40"/>
      </w:pPr>
    </w:p>
    <w:p>
      <w:pPr>
        <w:bidi/>
        <w:spacing w:after="80"/>
        <w:jc w:val="right"/>
      </w:pPr>
      <w:r>
        <w:rPr>
          <w:rFonts w:ascii="Arial" w:hAnsi="Arial" w:cs="Arial"/>
          <w:b/>
          <w:sz w:val="24"/>
          <w:rtl/>
        </w:rPr>
        <w:t>جدول التوازي (متوسط 12 صورة)</w:t>
      </w:r>
    </w:p>
    <w:tbl>
      <w:tblPr>
        <w:tblStyle w:val="TableGrid"/>
        <w:bidiVisual/>
        <w:tblW w:type="auto" w:w="0"/>
        <w:tblLook w:firstColumn="1" w:firstRow="1" w:lastColumn="0" w:lastRow="0" w:noHBand="0" w:noVBand="1" w:val="04A0"/>
      </w:tblPr>
      <w:tblGrid>
        <w:gridCol w:w="1994"/>
        <w:gridCol w:w="1994"/>
        <w:gridCol w:w="1994"/>
        <w:gridCol w:w="1994"/>
        <w:gridCol w:w="1994"/>
      </w:tblGrid>
      <w:tr>
        <w:tc>
          <w:tcPr>
            <w:tcW w:type="dxa" w:w="1474"/>
            <w:shd w:val="clear" w:color="auto" w:fill="1F4E78"/>
          </w:tcPr>
          <w:p>
            <w:pPr>
              <w:jc w:val="center"/>
            </w:pPr>
            <w:r/>
            <w:r>
              <w:rPr>
                <w:b/>
                <w:color w:val="FFFFFF"/>
                <w:sz w:val="20"/>
              </w:rPr>
              <w:t>عدد العمليات</w:t>
            </w:r>
          </w:p>
        </w:tc>
        <w:tc>
          <w:tcPr>
            <w:tcW w:type="dxa" w:w="2381"/>
            <w:shd w:val="clear" w:color="auto" w:fill="1F4E78"/>
          </w:tcPr>
          <w:p>
            <w:pPr>
              <w:jc w:val="center"/>
            </w:pPr>
            <w:r/>
            <w:r>
              <w:rPr>
                <w:b/>
                <w:color w:val="FFFFFF"/>
                <w:sz w:val="20"/>
              </w:rPr>
              <w:t>Speedup LBG (المدى)</w:t>
            </w:r>
          </w:p>
        </w:tc>
        <w:tc>
          <w:tcPr>
            <w:tcW w:type="dxa" w:w="1247"/>
            <w:shd w:val="clear" w:color="auto" w:fill="1F4E78"/>
          </w:tcPr>
          <w:p>
            <w:pPr>
              <w:jc w:val="center"/>
            </w:pPr>
            <w:r/>
            <w:r>
              <w:rPr>
                <w:b/>
                <w:color w:val="FFFFFF"/>
                <w:sz w:val="20"/>
              </w:rPr>
              <w:t>الكفاءة</w:t>
            </w:r>
          </w:p>
        </w:tc>
        <w:tc>
          <w:tcPr>
            <w:tcW w:type="dxa" w:w="1928"/>
            <w:shd w:val="clear" w:color="auto" w:fill="1F4E78"/>
          </w:tcPr>
          <w:p>
            <w:pPr>
              <w:jc w:val="center"/>
            </w:pPr>
            <w:r/>
            <w:r>
              <w:rPr>
                <w:b/>
                <w:color w:val="FFFFFF"/>
                <w:sz w:val="20"/>
              </w:rPr>
              <w:t>Speedup Total رمادي</w:t>
            </w:r>
          </w:p>
        </w:tc>
        <w:tc>
          <w:tcPr>
            <w:tcW w:type="dxa" w:w="1928"/>
            <w:shd w:val="clear" w:color="auto" w:fill="1F4E78"/>
          </w:tcPr>
          <w:p>
            <w:pPr>
              <w:jc w:val="center"/>
            </w:pPr>
            <w:r/>
            <w:r>
              <w:rPr>
                <w:b/>
                <w:color w:val="FFFFFF"/>
                <w:sz w:val="20"/>
              </w:rPr>
              <w:t>Speedup Total ملوّن</w:t>
            </w:r>
          </w:p>
        </w:tc>
      </w:tr>
      <w:tr>
        <w:tc>
          <w:tcPr>
            <w:tcW w:type="dxa" w:w="1474"/>
          </w:tcPr>
          <w:p>
            <w:pPr>
              <w:jc w:val="center"/>
            </w:pPr>
            <w:r/>
            <w:r>
              <w:rPr>
                <w:sz w:val="20"/>
              </w:rPr>
              <w:t>2</w:t>
            </w:r>
          </w:p>
        </w:tc>
        <w:tc>
          <w:tcPr>
            <w:tcW w:type="dxa" w:w="2381"/>
          </w:tcPr>
          <w:p>
            <w:pPr>
              <w:jc w:val="center"/>
            </w:pPr>
            <w:r/>
            <w:r>
              <w:rPr>
                <w:sz w:val="20"/>
              </w:rPr>
              <w:t>1.91 (1.91–1.92)</w:t>
            </w:r>
          </w:p>
        </w:tc>
        <w:tc>
          <w:tcPr>
            <w:tcW w:type="dxa" w:w="1247"/>
          </w:tcPr>
          <w:p>
            <w:pPr>
              <w:jc w:val="center"/>
            </w:pPr>
            <w:r/>
            <w:r>
              <w:rPr>
                <w:sz w:val="20"/>
              </w:rPr>
              <w:t>95%</w:t>
            </w:r>
          </w:p>
        </w:tc>
        <w:tc>
          <w:tcPr>
            <w:tcW w:type="dxa" w:w="1928"/>
          </w:tcPr>
          <w:p>
            <w:pPr>
              <w:jc w:val="center"/>
            </w:pPr>
            <w:r/>
            <w:r>
              <w:rPr>
                <w:sz w:val="20"/>
              </w:rPr>
              <w:t>1.74</w:t>
            </w:r>
          </w:p>
        </w:tc>
        <w:tc>
          <w:tcPr>
            <w:tcW w:type="dxa" w:w="1928"/>
          </w:tcPr>
          <w:p>
            <w:pPr>
              <w:jc w:val="center"/>
            </w:pPr>
            <w:r/>
            <w:r>
              <w:rPr>
                <w:sz w:val="20"/>
              </w:rPr>
              <w:t>1.84</w:t>
            </w:r>
          </w:p>
        </w:tc>
      </w:tr>
      <w:tr>
        <w:tc>
          <w:tcPr>
            <w:tcW w:type="dxa" w:w="1474"/>
          </w:tcPr>
          <w:p>
            <w:pPr>
              <w:jc w:val="center"/>
            </w:pPr>
            <w:r/>
            <w:r>
              <w:rPr>
                <w:sz w:val="20"/>
              </w:rPr>
              <w:t>4</w:t>
            </w:r>
          </w:p>
        </w:tc>
        <w:tc>
          <w:tcPr>
            <w:tcW w:type="dxa" w:w="2381"/>
          </w:tcPr>
          <w:p>
            <w:pPr>
              <w:jc w:val="center"/>
            </w:pPr>
            <w:r/>
            <w:r>
              <w:rPr>
                <w:sz w:val="20"/>
              </w:rPr>
              <w:t>3.77 (3.75–3.78)</w:t>
            </w:r>
          </w:p>
        </w:tc>
        <w:tc>
          <w:tcPr>
            <w:tcW w:type="dxa" w:w="1247"/>
          </w:tcPr>
          <w:p>
            <w:pPr>
              <w:jc w:val="center"/>
            </w:pPr>
            <w:r/>
            <w:r>
              <w:rPr>
                <w:sz w:val="20"/>
              </w:rPr>
              <w:t>94%</w:t>
            </w:r>
          </w:p>
        </w:tc>
        <w:tc>
          <w:tcPr>
            <w:tcW w:type="dxa" w:w="1928"/>
          </w:tcPr>
          <w:p>
            <w:pPr>
              <w:jc w:val="center"/>
            </w:pPr>
            <w:r/>
            <w:r>
              <w:rPr>
                <w:sz w:val="20"/>
              </w:rPr>
              <w:t>2.99</w:t>
            </w:r>
          </w:p>
        </w:tc>
        <w:tc>
          <w:tcPr>
            <w:tcW w:type="dxa" w:w="1928"/>
          </w:tcPr>
          <w:p>
            <w:pPr>
              <w:jc w:val="center"/>
            </w:pPr>
            <w:r/>
            <w:r>
              <w:rPr>
                <w:sz w:val="20"/>
              </w:rPr>
              <w:t>3.42</w:t>
            </w:r>
          </w:p>
        </w:tc>
      </w:tr>
      <w:tr>
        <w:tc>
          <w:tcPr>
            <w:tcW w:type="dxa" w:w="1474"/>
          </w:tcPr>
          <w:p>
            <w:pPr>
              <w:jc w:val="center"/>
            </w:pPr>
            <w:r/>
            <w:r>
              <w:rPr>
                <w:sz w:val="20"/>
              </w:rPr>
              <w:t>6</w:t>
            </w:r>
          </w:p>
        </w:tc>
        <w:tc>
          <w:tcPr>
            <w:tcW w:type="dxa" w:w="2381"/>
          </w:tcPr>
          <w:p>
            <w:pPr>
              <w:jc w:val="center"/>
            </w:pPr>
            <w:r/>
            <w:r>
              <w:rPr>
                <w:sz w:val="20"/>
              </w:rPr>
              <w:t>5.16 (4.94–5.35)</w:t>
            </w:r>
          </w:p>
        </w:tc>
        <w:tc>
          <w:tcPr>
            <w:tcW w:type="dxa" w:w="1247"/>
          </w:tcPr>
          <w:p>
            <w:pPr>
              <w:jc w:val="center"/>
            </w:pPr>
            <w:r/>
            <w:r>
              <w:rPr>
                <w:sz w:val="20"/>
              </w:rPr>
              <w:t>86%</w:t>
            </w:r>
          </w:p>
        </w:tc>
        <w:tc>
          <w:tcPr>
            <w:tcW w:type="dxa" w:w="1928"/>
          </w:tcPr>
          <w:p>
            <w:pPr>
              <w:jc w:val="center"/>
            </w:pPr>
            <w:r/>
            <w:r>
              <w:rPr>
                <w:sz w:val="20"/>
              </w:rPr>
              <w:t>3.67</w:t>
            </w:r>
          </w:p>
        </w:tc>
        <w:tc>
          <w:tcPr>
            <w:tcW w:type="dxa" w:w="1928"/>
          </w:tcPr>
          <w:p>
            <w:pPr>
              <w:jc w:val="center"/>
            </w:pPr>
            <w:r/>
            <w:r>
              <w:rPr>
                <w:sz w:val="20"/>
              </w:rPr>
              <w:t>4.51</w:t>
            </w:r>
          </w:p>
        </w:tc>
      </w:tr>
      <w:tr>
        <w:tc>
          <w:tcPr>
            <w:tcW w:type="dxa" w:w="1474"/>
          </w:tcPr>
          <w:p>
            <w:pPr>
              <w:jc w:val="center"/>
            </w:pPr>
            <w:r/>
            <w:r>
              <w:rPr>
                <w:sz w:val="20"/>
              </w:rPr>
              <w:t>8</w:t>
            </w:r>
          </w:p>
        </w:tc>
        <w:tc>
          <w:tcPr>
            <w:tcW w:type="dxa" w:w="2381"/>
          </w:tcPr>
          <w:p>
            <w:pPr>
              <w:jc w:val="center"/>
            </w:pPr>
            <w:r/>
            <w:r>
              <w:rPr>
                <w:sz w:val="20"/>
              </w:rPr>
              <w:t>5.76 (5.58–6.01)</w:t>
            </w:r>
          </w:p>
        </w:tc>
        <w:tc>
          <w:tcPr>
            <w:tcW w:type="dxa" w:w="1247"/>
          </w:tcPr>
          <w:p>
            <w:pPr>
              <w:jc w:val="center"/>
            </w:pPr>
            <w:r/>
            <w:r>
              <w:rPr>
                <w:sz w:val="20"/>
              </w:rPr>
              <w:t>72%</w:t>
            </w:r>
          </w:p>
        </w:tc>
        <w:tc>
          <w:tcPr>
            <w:tcW w:type="dxa" w:w="1928"/>
          </w:tcPr>
          <w:p>
            <w:pPr>
              <w:jc w:val="center"/>
            </w:pPr>
            <w:r/>
            <w:r>
              <w:rPr>
                <w:sz w:val="20"/>
              </w:rPr>
              <w:t>3.79</w:t>
            </w:r>
          </w:p>
        </w:tc>
        <w:tc>
          <w:tcPr>
            <w:tcW w:type="dxa" w:w="1928"/>
          </w:tcPr>
          <w:p>
            <w:pPr>
              <w:jc w:val="center"/>
            </w:pPr>
            <w:r/>
            <w:r>
              <w:rPr>
                <w:sz w:val="20"/>
              </w:rPr>
              <w:t>4.79</w:t>
            </w:r>
          </w:p>
        </w:tc>
      </w:tr>
      <w:tr>
        <w:tc>
          <w:tcPr>
            <w:tcW w:type="dxa" w:w="1474"/>
          </w:tcPr>
          <w:p>
            <w:pPr>
              <w:jc w:val="center"/>
            </w:pPr>
            <w:r/>
            <w:r>
              <w:rPr>
                <w:sz w:val="20"/>
              </w:rPr>
              <w:t>10</w:t>
            </w:r>
          </w:p>
        </w:tc>
        <w:tc>
          <w:tcPr>
            <w:tcW w:type="dxa" w:w="2381"/>
          </w:tcPr>
          <w:p>
            <w:pPr>
              <w:jc w:val="center"/>
            </w:pPr>
            <w:r/>
            <w:r>
              <w:rPr>
                <w:sz w:val="20"/>
              </w:rPr>
              <w:t>6.31 (6.06–6.54)</w:t>
            </w:r>
          </w:p>
        </w:tc>
        <w:tc>
          <w:tcPr>
            <w:tcW w:type="dxa" w:w="1247"/>
          </w:tcPr>
          <w:p>
            <w:pPr>
              <w:jc w:val="center"/>
            </w:pPr>
            <w:r/>
            <w:r>
              <w:rPr>
                <w:sz w:val="20"/>
              </w:rPr>
              <w:t>63%</w:t>
            </w:r>
          </w:p>
        </w:tc>
        <w:tc>
          <w:tcPr>
            <w:tcW w:type="dxa" w:w="1928"/>
          </w:tcPr>
          <w:p>
            <w:pPr>
              <w:jc w:val="center"/>
            </w:pPr>
            <w:r/>
            <w:r>
              <w:rPr>
                <w:sz w:val="20"/>
              </w:rPr>
              <w:t>4.08</w:t>
            </w:r>
          </w:p>
        </w:tc>
        <w:tc>
          <w:tcPr>
            <w:tcW w:type="dxa" w:w="1928"/>
          </w:tcPr>
          <w:p>
            <w:pPr>
              <w:jc w:val="center"/>
            </w:pPr>
            <w:r/>
            <w:r>
              <w:rPr>
                <w:sz w:val="20"/>
              </w:rPr>
              <w:t>5.20</w:t>
            </w:r>
          </w:p>
        </w:tc>
      </w:tr>
      <w:tr>
        <w:tc>
          <w:tcPr>
            <w:tcW w:type="dxa" w:w="1474"/>
          </w:tcPr>
          <w:p>
            <w:pPr>
              <w:jc w:val="center"/>
            </w:pPr>
            <w:r/>
            <w:r>
              <w:rPr>
                <w:sz w:val="20"/>
              </w:rPr>
              <w:t>12</w:t>
            </w:r>
          </w:p>
        </w:tc>
        <w:tc>
          <w:tcPr>
            <w:tcW w:type="dxa" w:w="2381"/>
          </w:tcPr>
          <w:p>
            <w:pPr>
              <w:jc w:val="center"/>
            </w:pPr>
            <w:r/>
            <w:r>
              <w:rPr>
                <w:sz w:val="20"/>
              </w:rPr>
              <w:t>6.90 (6.66–7.14)</w:t>
            </w:r>
          </w:p>
        </w:tc>
        <w:tc>
          <w:tcPr>
            <w:tcW w:type="dxa" w:w="1247"/>
          </w:tcPr>
          <w:p>
            <w:pPr>
              <w:jc w:val="center"/>
            </w:pPr>
            <w:r/>
            <w:r>
              <w:rPr>
                <w:sz w:val="20"/>
              </w:rPr>
              <w:t>58%</w:t>
            </w:r>
          </w:p>
        </w:tc>
        <w:tc>
          <w:tcPr>
            <w:tcW w:type="dxa" w:w="1928"/>
          </w:tcPr>
          <w:p>
            <w:pPr>
              <w:jc w:val="center"/>
            </w:pPr>
            <w:r/>
            <w:r>
              <w:rPr>
                <w:sz w:val="20"/>
              </w:rPr>
              <w:t>4.31</w:t>
            </w:r>
          </w:p>
        </w:tc>
        <w:tc>
          <w:tcPr>
            <w:tcW w:type="dxa" w:w="1928"/>
          </w:tcPr>
          <w:p>
            <w:pPr>
              <w:jc w:val="center"/>
            </w:pPr>
            <w:r/>
            <w:r>
              <w:rPr>
                <w:sz w:val="20"/>
              </w:rPr>
              <w:t>5.63</w:t>
            </w:r>
          </w:p>
        </w:tc>
      </w:tr>
      <w:tr>
        <w:tc>
          <w:tcPr>
            <w:tcW w:type="dxa" w:w="1474"/>
          </w:tcPr>
          <w:p>
            <w:pPr>
              <w:jc w:val="center"/>
            </w:pPr>
            <w:r/>
            <w:r>
              <w:rPr>
                <w:sz w:val="20"/>
              </w:rPr>
              <w:t>14</w:t>
            </w:r>
          </w:p>
        </w:tc>
        <w:tc>
          <w:tcPr>
            <w:tcW w:type="dxa" w:w="2381"/>
          </w:tcPr>
          <w:p>
            <w:pPr>
              <w:jc w:val="center"/>
            </w:pPr>
            <w:r/>
            <w:r>
              <w:rPr>
                <w:sz w:val="20"/>
              </w:rPr>
              <w:t>7.54 (7.38–7.68)</w:t>
            </w:r>
          </w:p>
        </w:tc>
        <w:tc>
          <w:tcPr>
            <w:tcW w:type="dxa" w:w="1247"/>
          </w:tcPr>
          <w:p>
            <w:pPr>
              <w:jc w:val="center"/>
            </w:pPr>
            <w:r/>
            <w:r>
              <w:rPr>
                <w:sz w:val="20"/>
              </w:rPr>
              <w:t>54%</w:t>
            </w:r>
          </w:p>
        </w:tc>
        <w:tc>
          <w:tcPr>
            <w:tcW w:type="dxa" w:w="1928"/>
          </w:tcPr>
          <w:p>
            <w:pPr>
              <w:jc w:val="center"/>
            </w:pPr>
            <w:r/>
            <w:r>
              <w:rPr>
                <w:sz w:val="20"/>
              </w:rPr>
              <w:t>4.57</w:t>
            </w:r>
          </w:p>
        </w:tc>
        <w:tc>
          <w:tcPr>
            <w:tcW w:type="dxa" w:w="1928"/>
          </w:tcPr>
          <w:p>
            <w:pPr>
              <w:jc w:val="center"/>
            </w:pPr>
            <w:r/>
            <w:r>
              <w:rPr>
                <w:sz w:val="20"/>
              </w:rPr>
              <w:t>6.06</w:t>
            </w:r>
          </w:p>
        </w:tc>
      </w:tr>
    </w:tbl>
    <w:p>
      <w:pPr>
        <w:spacing w:after="40"/>
      </w:pPr>
    </w:p>
    <w:p>
      <w:pPr>
        <w:bidi/>
        <w:spacing w:after="80"/>
        <w:jc w:val="right"/>
      </w:pPr>
      <w:r>
        <w:rPr>
          <w:rFonts w:ascii="Arial" w:hAnsi="Arial" w:cs="Arial"/>
          <w:b/>
          <w:sz w:val="24"/>
          <w:rtl/>
        </w:rPr>
        <w:t>نقاط رئيسية</w:t>
      </w:r>
    </w:p>
    <w:p>
      <w:pPr>
        <w:pStyle w:val="ListBullet"/>
        <w:bidi/>
        <w:spacing w:after="60"/>
        <w:jc w:val="right"/>
      </w:pPr>
      <w:r>
        <w:rPr>
          <w:rFonts w:ascii="Arial" w:hAnsi="Arial" w:cs="Arial"/>
          <w:b w:val="0"/>
          <w:rtl/>
        </w:rPr>
        <w:t>PSNR وSSIM أعلى من الإعداد القديم في 12 من 12 صورة. مكسب PSNR من +0.33 dB (Lena الملوّنة) إلى +1.49 dB (PET Sagittal)، والمتوسط +0.75 dB.</w:t>
      </w:r>
    </w:p>
    <w:p>
      <w:pPr>
        <w:pStyle w:val="ListBullet"/>
        <w:bidi/>
        <w:spacing w:after="60"/>
        <w:jc w:val="right"/>
      </w:pPr>
      <w:r>
        <w:rPr>
          <w:rFonts w:ascii="Arial" w:hAnsi="Arial" w:cs="Arial"/>
          <w:b w:val="0"/>
          <w:rtl/>
        </w:rPr>
        <w:t>الصور الأربع التي في الورقتين: PSNR 30.23 مقابل 29.88 المنشور، وSSIM 0.8465 مقابل 0.8447، وMSE 61.85 مقابل 67.04، وCR 25.92 مقابل 26.09 (أقل بنحو 0.65%).</w:t>
      </w:r>
    </w:p>
    <w:p>
      <w:pPr>
        <w:pStyle w:val="ListBullet"/>
        <w:bidi/>
        <w:spacing w:after="60"/>
        <w:jc w:val="right"/>
      </w:pPr>
      <w:r>
        <w:rPr>
          <w:rFonts w:ascii="Arial" w:hAnsi="Arial" w:cs="Arial"/>
          <w:b w:val="0"/>
          <w:rtl/>
        </w:rPr>
        <w:t>أقصى Speedup لـ LBG نحو 7.5× عند 14 عملية. وSpeedup الكلي 4.6× للرمادي و6.1× للملوّن.</w:t>
      </w:r>
    </w:p>
    <w:p>
      <w:pPr>
        <w:pStyle w:val="ListBullet"/>
        <w:bidi/>
        <w:spacing w:after="60"/>
        <w:jc w:val="right"/>
      </w:pPr>
      <w:r>
        <w:rPr>
          <w:rFonts w:ascii="Arial" w:hAnsi="Arial" w:cs="Arial"/>
          <w:b w:val="0"/>
          <w:rtl/>
        </w:rPr>
        <w:t>التسلسلي والموازي ينتجان الصورة نفسها بايت ببايت (اختُبر على Lena وPeppers وBrain MRI وMammogram).</w:t>
      </w:r>
    </w:p>
    <w:p>
      <w:pPr>
        <w:bidi/>
        <w:spacing w:after="120"/>
        <w:jc w:val="right"/>
      </w:pPr>
      <w:r>
        <w:rPr>
          <w:rFonts w:ascii="Arial" w:hAnsi="Arial" w:cs="Arial"/>
          <w:b/>
          <w:color w:val="1F4E78"/>
          <w:sz w:val="30"/>
          <w:rtl/>
        </w:rPr>
        <w:t>ثالثاً: التحليل</w:t>
      </w:r>
    </w:p>
    <w:p>
      <w:pPr>
        <w:bidi/>
        <w:spacing w:after="80"/>
        <w:jc w:val="right"/>
      </w:pPr>
      <w:r>
        <w:rPr>
          <w:rFonts w:ascii="Arial" w:hAnsi="Arial" w:cs="Arial"/>
          <w:b/>
          <w:sz w:val="24"/>
          <w:rtl/>
        </w:rPr>
        <w:t>الجودة</w:t>
      </w:r>
    </w:p>
    <w:p>
      <w:pPr>
        <w:pStyle w:val="ListBullet"/>
        <w:bidi/>
        <w:spacing w:after="60"/>
        <w:jc w:val="right"/>
      </w:pPr>
      <w:r>
        <w:rPr>
          <w:rFonts w:ascii="Arial" w:hAnsi="Arial" w:cs="Arial"/>
          <w:b w:val="0"/>
          <w:rtl/>
        </w:rPr>
        <w:t>المكسب مصدره تقوية الفلتر بعد الضغط: يزيل أثر المربعات 4×4 الذي يتركه ترميز الكتل، فينخفض الخطأ مقابل الأصلية. هو تحسين في المعالجة اللاحقة لا في خوارزمية الضغط، وكودبوك LBG لم يتحسن.</w:t>
      </w:r>
    </w:p>
    <w:p>
      <w:pPr>
        <w:pStyle w:val="ListBullet"/>
        <w:bidi/>
        <w:spacing w:after="60"/>
        <w:jc w:val="right"/>
      </w:pPr>
      <w:r>
        <w:rPr>
          <w:rFonts w:ascii="Arial" w:hAnsi="Arial" w:cs="Arial"/>
          <w:b w:val="0"/>
          <w:rtl/>
        </w:rPr>
        <w:t>تحسّن جميع الصور الاثنتي عشرة في المقياسين معاً يعطي دلالة إحصائية قوية (اختبار الإشارة: p ≈ 0.0005).</w:t>
      </w:r>
    </w:p>
    <w:p>
      <w:pPr>
        <w:pStyle w:val="ListBullet"/>
        <w:bidi/>
        <w:spacing w:after="60"/>
        <w:jc w:val="right"/>
      </w:pPr>
      <w:r>
        <w:rPr>
          <w:rFonts w:ascii="Arial" w:hAnsi="Arial" w:cs="Arial"/>
          <w:b w:val="0"/>
          <w:rtl/>
        </w:rPr>
        <w:t>المكسب أكبر في الصور الملساء والطبية (PET +1.09 و+1.49 dB، Mammogram +0.85) وأقل في الصور الطبيعية الدقيقة (Boat +0.41، Lena الملوّنة +0.33).</w:t>
      </w:r>
    </w:p>
    <w:p>
      <w:pPr>
        <w:pStyle w:val="ListBullet"/>
        <w:bidi/>
        <w:spacing w:after="60"/>
        <w:jc w:val="right"/>
      </w:pPr>
      <w:r>
        <w:rPr>
          <w:rFonts w:ascii="Arial" w:hAnsi="Arial" w:cs="Arial"/>
          <w:b w:val="0"/>
          <w:rtl/>
        </w:rPr>
        <w:t>الفلتر القوي يضر الصور شديدة النسيج (قيس على baboon وhouse وHistology خارج الدراسة): يمحو التفاصيل الدقيقة. وهذا قيد يجب ذكره.</w:t>
      </w:r>
    </w:p>
    <w:p>
      <w:pPr>
        <w:pStyle w:val="ListBullet"/>
        <w:bidi/>
        <w:spacing w:after="60"/>
        <w:jc w:val="right"/>
      </w:pPr>
      <w:r>
        <w:rPr>
          <w:rFonts w:ascii="Arial" w:hAnsi="Arial" w:cs="Arial"/>
          <w:b w:val="0"/>
          <w:rtl/>
        </w:rPr>
        <w:t>PSNR وSSIM يكافئان التنعيم؛ لذلك اختير α=0.4 اعتماداً على تفضيل بصري أيضاً، وهو تفضيل شخص واحد وليس تجربة إدراكية.</w:t>
      </w:r>
    </w:p>
    <w:p>
      <w:pPr>
        <w:bidi/>
        <w:spacing w:after="80"/>
        <w:jc w:val="right"/>
      </w:pPr>
      <w:r>
        <w:rPr>
          <w:rFonts w:ascii="Arial" w:hAnsi="Arial" w:cs="Arial"/>
          <w:b/>
          <w:sz w:val="24"/>
          <w:rtl/>
        </w:rPr>
        <w:t>التوازي</w:t>
      </w:r>
    </w:p>
    <w:p>
      <w:pPr>
        <w:pStyle w:val="ListBullet"/>
        <w:bidi/>
        <w:spacing w:after="60"/>
        <w:jc w:val="right"/>
      </w:pPr>
      <w:r>
        <w:rPr>
          <w:rFonts w:ascii="Arial" w:hAnsi="Arial" w:cs="Arial"/>
          <w:b w:val="0"/>
          <w:rtl/>
        </w:rPr>
        <w:t>التوزيع شبه خطي حتى 4 عمليات (كفاءة 94–95%)، ثم تنخفض الكفاءة تدريجياً (72% عند 8 و54% عند 14).</w:t>
      </w:r>
    </w:p>
    <w:p>
      <w:pPr>
        <w:pStyle w:val="ListBullet"/>
        <w:bidi/>
        <w:spacing w:after="60"/>
        <w:jc w:val="right"/>
      </w:pPr>
      <w:r>
        <w:rPr>
          <w:rFonts w:ascii="Arial" w:hAnsi="Arial" w:cs="Arial"/>
          <w:b w:val="0"/>
          <w:rtl/>
        </w:rPr>
        <w:t>سبب الانخفاض بعد 6 عمليات: تدخل أنوية الكفاءة الأبطأ (النوى الستّ الأولى هي أنوية الأداء)، والعملية الأبطأ تحدد سرعة المجموعة عند نقطة التزامن Allreduce. يضاف إليه نصيب كل عملية الأصغر وتكلفة الاتصال النسبية.</w:t>
      </w:r>
    </w:p>
    <w:p>
      <w:pPr>
        <w:pStyle w:val="ListBullet"/>
        <w:bidi/>
        <w:spacing w:after="60"/>
        <w:jc w:val="right"/>
      </w:pPr>
      <w:r>
        <w:rPr>
          <w:rFonts w:ascii="Arial" w:hAnsi="Arial" w:cs="Arial"/>
          <w:b w:val="0"/>
          <w:rtl/>
        </w:rPr>
        <w:t>تجانس Speedup عبر الصور (تباين لا يتجاوز 3% عند 14 عملية) متوقع، لأن كلفة تكرار LBG لا تعتمد على محتوى الصورة.</w:t>
      </w:r>
    </w:p>
    <w:p>
      <w:pPr>
        <w:pStyle w:val="ListBullet"/>
        <w:bidi/>
        <w:spacing w:after="60"/>
        <w:jc w:val="right"/>
      </w:pPr>
      <w:r>
        <w:rPr>
          <w:rFonts w:ascii="Arial" w:hAnsi="Arial" w:cs="Arial"/>
          <w:b w:val="0"/>
          <w:rtl/>
        </w:rPr>
        <w:t>Speedup الكلي أقل من Speedup LBG لوجود جزء تسلسلي (قراءة الصورة، كتابة الملفات، هوفمان) نحو 15% بعد توزيع الفلتر؛ وفي الملوّن Speedup الكلي أعلى لأن LBG يشكّل حصة أكبر من الزمن.</w:t>
      </w:r>
    </w:p>
    <w:p>
      <w:pPr>
        <w:bidi/>
        <w:spacing w:after="80"/>
        <w:jc w:val="right"/>
      </w:pPr>
      <w:r>
        <w:rPr>
          <w:rFonts w:ascii="Arial" w:hAnsi="Arial" w:cs="Arial"/>
          <w:b/>
          <w:sz w:val="24"/>
          <w:rtl/>
        </w:rPr>
        <w:t>تفسير الشذوذات القديمة</w:t>
      </w:r>
    </w:p>
    <w:p>
      <w:pPr>
        <w:pStyle w:val="ListBullet"/>
        <w:bidi/>
        <w:spacing w:after="60"/>
        <w:jc w:val="right"/>
      </w:pPr>
      <w:r>
        <w:rPr>
          <w:rFonts w:ascii="Arial" w:hAnsi="Arial" w:cs="Arial"/>
          <w:b w:val="0"/>
          <w:rtl/>
        </w:rPr>
        <w:t>كان عدد تكرارات LBG في الموازي يختلف عن التسلسلي في بعض الصور (Peppers: 114 في التسلسلي و132 في الموازي، وBrain MRI: 145 ثم 142 ثم 162 ثم 142 بحسب عدد العمليات). فبدت الكفاءة ضعيفة (Peppers 76% عند عمليتين) أو فوق خطية (Brain MRI 102%).</w:t>
      </w:r>
    </w:p>
    <w:p>
      <w:pPr>
        <w:pStyle w:val="ListBullet"/>
        <w:bidi/>
        <w:spacing w:after="60"/>
        <w:jc w:val="right"/>
      </w:pPr>
      <w:r>
        <w:rPr>
          <w:rFonts w:ascii="Arial" w:hAnsi="Arial" w:cs="Arial"/>
          <w:b w:val="0"/>
          <w:rtl/>
        </w:rPr>
        <w:t>السبب: جمع الأعداد بدقة float يتغير بترتيب الجمع. أثبتنا ذلك بتجربة محاكاة أعادت إنتاج الأعداد نفسها على صورك الحقيقية، وزالت المشكلة بالجمع المزدوج. بعد ذلك صار التكرار 132 لـ Peppers و142 لـ Brain MRI في كل الحالات.</w:t>
      </w:r>
    </w:p>
    <w:p>
      <w:pPr>
        <w:pStyle w:val="ListBullet"/>
        <w:bidi/>
        <w:spacing w:after="60"/>
        <w:jc w:val="right"/>
      </w:pPr>
      <w:r>
        <w:rPr>
          <w:rFonts w:ascii="Arial" w:hAnsi="Arial" w:cs="Arial"/>
          <w:b w:val="0"/>
          <w:rtl/>
        </w:rPr>
        <w:t>نتيجة منهجية: LBG حساس لمساره الرقمي؛ فرق دون نحو 0.5% في CR أو 0.05 dB في PSNR بين نسختين من الكود لا يُعدّ تحسناً حقيقياً.</w:t>
      </w:r>
    </w:p>
    <w:p>
      <w:pPr>
        <w:bidi/>
        <w:spacing w:after="120"/>
        <w:jc w:val="right"/>
      </w:pPr>
      <w:r>
        <w:rPr>
          <w:rFonts w:ascii="Arial" w:hAnsi="Arial" w:cs="Arial"/>
          <w:b/>
          <w:color w:val="1F4E78"/>
          <w:sz w:val="30"/>
          <w:rtl/>
        </w:rPr>
        <w:t>رابعاً: أرقام وادعاءات لا تُستخدم</w:t>
      </w:r>
    </w:p>
    <w:p>
      <w:pPr>
        <w:pStyle w:val="ListBullet"/>
        <w:bidi/>
        <w:spacing w:after="60"/>
        <w:jc w:val="right"/>
      </w:pPr>
      <w:r>
        <w:rPr>
          <w:rFonts w:ascii="Arial" w:hAnsi="Arial" w:cs="Arial"/>
          <w:b w:val="0"/>
          <w:rtl/>
        </w:rPr>
        <w:t>الرقم 9.51× في ملخص الورقة الموازية: حُسب بخطّي أساس مختلفين للاستراتيجيتين ولا يُعاد إنتاجه. الصحيح نحو 7.5×.</w:t>
      </w:r>
    </w:p>
    <w:p>
      <w:pPr>
        <w:pStyle w:val="ListBullet"/>
        <w:bidi/>
        <w:spacing w:after="60"/>
        <w:jc w:val="right"/>
      </w:pPr>
      <w:r>
        <w:rPr>
          <w:rFonts w:ascii="Arial" w:hAnsi="Arial" w:cs="Arial"/>
          <w:b w:val="0"/>
          <w:rtl/>
        </w:rPr>
        <w:t>فائدة التوزيع التكيفي (Adaptive) عند 14 عملية (11.8%): لم تظهر في قياساتنا (فرق −0.3%)؛ المؤكد فقط مكسبها عند 8 عمليات (نحو 19%) عند أول دخول لأنوية الكفاءة.</w:t>
      </w:r>
    </w:p>
    <w:p>
      <w:pPr>
        <w:pStyle w:val="ListBullet"/>
        <w:bidi/>
        <w:spacing w:after="60"/>
        <w:jc w:val="right"/>
      </w:pPr>
      <w:r>
        <w:rPr>
          <w:rFonts w:ascii="Arial" w:hAnsi="Arial" w:cs="Arial"/>
          <w:b w:val="0"/>
          <w:rtl/>
        </w:rPr>
        <w:t>جدول Table 4 في الورقة الموازية (شذوذ عند P=8): مبني على قياس غير مضبوط بالبروتوكول. جداول Ren وendN وسجل النتائج القديم من إصدارات سابقة (جمع float، فلتر قديم، Total بلا كتابة ملفات) ولا تُخلط مع v3.</w:t>
      </w:r>
    </w:p>
    <w:p>
      <w:pPr>
        <w:bidi/>
        <w:spacing w:after="120"/>
        <w:jc w:val="right"/>
      </w:pPr>
      <w:r>
        <w:rPr>
          <w:rFonts w:ascii="Arial" w:hAnsi="Arial" w:cs="Arial"/>
          <w:b/>
          <w:color w:val="1F4E78"/>
          <w:sz w:val="30"/>
          <w:rtl/>
        </w:rPr>
        <w:t>خامساً: القيود (تُذكر في الأطروحة)</w:t>
      </w:r>
    </w:p>
    <w:p>
      <w:pPr>
        <w:pStyle w:val="ListBullet"/>
        <w:bidi/>
        <w:spacing w:after="60"/>
        <w:jc w:val="right"/>
      </w:pPr>
      <w:r>
        <w:rPr>
          <w:rFonts w:ascii="Arial" w:hAnsi="Arial" w:cs="Arial"/>
          <w:b w:val="0"/>
          <w:rtl/>
        </w:rPr>
        <w:t>الفلتر القوي يضر الصور شديدة النسيج، ويناسب الصور الملساء والطبية.</w:t>
      </w:r>
    </w:p>
    <w:p>
      <w:pPr>
        <w:pStyle w:val="ListBullet"/>
        <w:bidi/>
        <w:spacing w:after="60"/>
        <w:jc w:val="right"/>
      </w:pPr>
      <w:r>
        <w:rPr>
          <w:rFonts w:ascii="Arial" w:hAnsi="Arial" w:cs="Arial"/>
          <w:b w:val="0"/>
          <w:rtl/>
        </w:rPr>
        <w:t>5 من 12 صورة استُخدمت في ضبط المعاملات، فمكسبها متفائل؛ والمكسب مؤكَّد على الصور المحجوزة.</w:t>
      </w:r>
    </w:p>
    <w:p>
      <w:pPr>
        <w:pStyle w:val="ListBullet"/>
        <w:bidi/>
        <w:spacing w:after="60"/>
        <w:jc w:val="right"/>
      </w:pPr>
      <w:r>
        <w:rPr>
          <w:rFonts w:ascii="Arial" w:hAnsi="Arial" w:cs="Arial"/>
          <w:b w:val="0"/>
          <w:rtl/>
        </w:rPr>
        <w:t>التقييم إحصائي (PSNR وSSIM) لا تشخيصي، والتنعيم قد يضعف عناصر دقيقة في الصور الطبية.</w:t>
      </w:r>
    </w:p>
    <w:p>
      <w:pPr>
        <w:pStyle w:val="ListBullet"/>
        <w:bidi/>
        <w:spacing w:after="60"/>
        <w:jc w:val="right"/>
      </w:pPr>
      <w:r>
        <w:rPr>
          <w:rFonts w:ascii="Arial" w:hAnsi="Arial" w:cs="Arial"/>
          <w:b w:val="0"/>
          <w:rtl/>
        </w:rPr>
        <w:t>جهاز واحد هجين، عقدة واحدة، حجم صورة 512×512 فقط، وجلسة قياس واحدة (median من 5).</w:t>
      </w:r>
    </w:p>
    <w:p>
      <w:pPr>
        <w:pStyle w:val="ListBullet"/>
        <w:bidi/>
        <w:spacing w:after="60"/>
        <w:jc w:val="right"/>
      </w:pPr>
      <w:r>
        <w:rPr>
          <w:rFonts w:ascii="Arial" w:hAnsi="Arial" w:cs="Arial"/>
          <w:b w:val="0"/>
          <w:rtl/>
        </w:rPr>
        <w:t>إعادة الإنتاج الحرفية مضمونة على المترجم والمعمارية نفسهما فقط.</w:t>
      </w:r>
    </w:p>
    <w:p>
      <w:pPr>
        <w:pStyle w:val="ListBullet"/>
        <w:bidi/>
        <w:spacing w:after="60"/>
        <w:jc w:val="right"/>
      </w:pPr>
      <w:r>
        <w:rPr>
          <w:rFonts w:ascii="Arial" w:hAnsi="Arial" w:cs="Arial"/>
          <w:b w:val="0"/>
          <w:rtl/>
        </w:rPr>
        <w:t>CR لا تشمل رأس ملف حقيقي، ولا يُكتب ملف مضغوط فعلي؛ فك هوفمان يُتحقق منه في الذاكرة.</w:t>
      </w:r>
    </w:p>
    <w:p>
      <w:pPr>
        <w:bidi/>
        <w:spacing w:after="120"/>
        <w:jc w:val="right"/>
      </w:pPr>
      <w:r>
        <w:rPr>
          <w:rFonts w:ascii="Arial" w:hAnsi="Arial" w:cs="Arial"/>
          <w:b/>
          <w:color w:val="1F4E78"/>
          <w:sz w:val="30"/>
          <w:rtl/>
        </w:rPr>
        <w:t>سادساً: بنود مفتوحة</w:t>
      </w:r>
    </w:p>
    <w:p>
      <w:pPr>
        <w:pStyle w:val="ListBullet"/>
        <w:bidi/>
        <w:spacing w:after="60"/>
        <w:jc w:val="right"/>
      </w:pPr>
      <w:r>
        <w:rPr>
          <w:rFonts w:ascii="Arial" w:hAnsi="Arial" w:cs="Arial"/>
          <w:b w:val="0"/>
          <w:rtl/>
        </w:rPr>
        <w:t>التحقق من أن PSNR وSSIM في الورقتين المنشورتين محسوبتان مقابل الصورة الأصلية (تتطلب الكود الأصلي).</w:t>
      </w:r>
    </w:p>
    <w:p>
      <w:pPr>
        <w:pStyle w:val="ListBullet"/>
        <w:bidi/>
        <w:spacing w:after="60"/>
        <w:jc w:val="right"/>
      </w:pPr>
      <w:r>
        <w:rPr>
          <w:rFonts w:ascii="Arial" w:hAnsi="Arial" w:cs="Arial"/>
          <w:b w:val="0"/>
          <w:rtl/>
        </w:rPr>
        <w:t>إعادة قياس Equal مقابل Adaptive بالإصدار النهائي، بجلسة واحدة وأساس تسلسلي واحد، وفي جلستين على الأقل.</w:t>
      </w:r>
    </w:p>
    <w:p>
      <w:pPr>
        <w:pStyle w:val="ListBullet"/>
        <w:bidi/>
        <w:spacing w:after="60"/>
        <w:jc w:val="right"/>
      </w:pPr>
      <w:r>
        <w:rPr>
          <w:rFonts w:ascii="Arial" w:hAnsi="Arial" w:cs="Arial"/>
          <w:b w:val="0"/>
          <w:rtl/>
        </w:rPr>
        <w:t>حفظ التكرارات الخام وتشتتها، وتحقق متقاطع (leave-one-out) لمعاملات الفلتر، وفصل زمن التشفير عن زمن الفك والتقييم.</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