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200"/>
        <w:jc w:val="center"/>
      </w:pPr>
      <w:r>
        <w:rPr>
          <w:rFonts w:ascii="Arial" w:cs="Arial" w:eastAsia="Arial" w:hAnsi="Arial"/>
          <w:b/>
          <w:bCs/>
          <w:color w:val="0B2545"/>
          <w:sz w:val="28"/>
          <w:szCs w:val="28"/>
        </w:rPr>
        <w:t xml:space="preserve">École Mohammadia d'Ingénieurs (EMI)</w:t>
      </w:r>
    </w:p>
    <w:p>
      <w:pPr>
        <w:spacing w:after="200" w:before="60"/>
        <w:jc w:val="center"/>
      </w:pPr>
      <w:r>
        <w:rPr>
          <w:rFonts w:ascii="Arial" w:cs="Arial" w:eastAsia="Arial" w:hAnsi="Arial"/>
          <w:color w:val="6C757D"/>
          <w:sz w:val="24"/>
          <w:szCs w:val="24"/>
        </w:rPr>
        <w:t xml:space="preserve">Recherche Opérationnelle – 2026</w:t>
      </w:r>
    </w:p>
    <w:p>
      <w:pPr>
        <w:spacing w:after="120" w:before="120"/>
      </w:pPr>
      <w:r>
        <w:t xml:space="preserve"/>
      </w:r>
    </w:p>
    <w:p>
      <w:pPr>
        <w:spacing w:after="80" w:before="160"/>
        <w:jc w:val="center"/>
      </w:pPr>
      <w:r>
        <w:rPr>
          <w:rFonts w:ascii="Arial" w:cs="Arial" w:eastAsia="Arial" w:hAnsi="Arial"/>
          <w:b/>
          <w:bCs/>
          <w:color w:val="0234A5"/>
          <w:sz w:val="40"/>
          <w:szCs w:val="40"/>
        </w:rPr>
        <w:t xml:space="preserve">Optimisation d'un Réseau Intelligent de</w:t>
      </w:r>
    </w:p>
    <w:p>
      <w:pPr>
        <w:spacing w:after="80" w:before="0"/>
        <w:jc w:val="center"/>
      </w:pPr>
      <w:r>
        <w:rPr>
          <w:rFonts w:ascii="Arial" w:cs="Arial" w:eastAsia="Arial" w:hAnsi="Arial"/>
          <w:b/>
          <w:bCs/>
          <w:color w:val="0234A5"/>
          <w:sz w:val="40"/>
          <w:szCs w:val="40"/>
        </w:rPr>
        <w:t xml:space="preserve">Distribution et de Gestion de l'Énergie</w:t>
      </w:r>
    </w:p>
    <w:p>
      <w:pPr>
        <w:spacing w:after="280" w:before="0"/>
        <w:jc w:val="center"/>
      </w:pPr>
      <w:r>
        <w:rPr>
          <w:rFonts w:ascii="Arial" w:cs="Arial" w:eastAsia="Arial" w:hAnsi="Arial"/>
          <w:b/>
          <w:bCs/>
          <w:color w:val="1B6B3A"/>
          <w:sz w:val="36"/>
          <w:szCs w:val="36"/>
        </w:rPr>
        <w:t xml:space="preserve">pour la Mobilité Électrique</w:t>
      </w:r>
    </w:p>
    <w:p>
      <w:pPr>
        <w:spacing w:after="120" w:before="120"/>
      </w:pPr>
      <w:r>
        <w:t xml:space="preserve"/>
      </w:r>
    </w:p>
    <w:p>
      <w:pPr>
        <w:spacing w:after="120" w:before="120"/>
      </w:pPr>
      <w:r>
        <w:t xml:space="preserve"/>
      </w:r>
    </w:p>
    <w:p>
      <w:pPr>
        <w:spacing w:after="60" w:before="80"/>
        <w:jc w:val="center"/>
      </w:pPr>
      <w:r>
        <w:rPr>
          <w:rFonts w:ascii="Arial" w:cs="Arial" w:eastAsia="Arial" w:hAnsi="Arial"/>
          <w:b/>
          <w:bCs/>
          <w:color w:val="0B2545"/>
          <w:sz w:val="24"/>
          <w:szCs w:val="24"/>
        </w:rPr>
        <w:t xml:space="preserve">Étudiante : Ibtissam Rharib</w:t>
      </w:r>
    </w:p>
    <w:p>
      <w:pPr>
        <w:spacing w:after="60" w:before="60"/>
        <w:jc w:val="center"/>
      </w:pPr>
      <w:r>
        <w:rPr>
          <w:rFonts w:ascii="Arial" w:cs="Arial" w:eastAsia="Arial" w:hAnsi="Arial"/>
          <w:color w:val="B8860B"/>
          <w:sz w:val="22"/>
          <w:szCs w:val="22"/>
        </w:rPr>
        <w:t xml:space="preserve">Encadrante : Dr. EL MKHALET MOUNA</w:t>
      </w:r>
    </w:p>
    <w:p>
      <w:pPr>
        <w:spacing w:after="60" w:before="60"/>
        <w:jc w:val="center"/>
      </w:pPr>
      <w:r>
        <w:rPr>
          <w:rFonts w:ascii="Arial" w:cs="Arial" w:eastAsia="Arial" w:hAnsi="Arial"/>
          <w:color w:val="6C757D"/>
          <w:sz w:val="22"/>
          <w:szCs w:val="22"/>
        </w:rPr>
        <w:t xml:space="preserve">Année académique : 2025 – 2026</w:t>
      </w:r>
    </w:p>
    <w:p>
      <w:r>
        <w:br w:type="page"/>
      </w:r>
    </w:p>
    <w:p>
      <w:pPr>
        <w:pStyle w:val="Heading1"/>
        <w:spacing w:after="200" w:before="360"/>
      </w:pPr>
      <w:r>
        <w:rPr>
          <w:rFonts w:ascii="Arial" w:cs="Arial" w:eastAsia="Arial" w:hAnsi="Arial"/>
          <w:b/>
          <w:bCs/>
          <w:color w:val="0B2545"/>
          <w:sz w:val="32"/>
          <w:szCs w:val="32"/>
        </w:rPr>
        <w:t xml:space="preserve">Table des Matières</w:t>
      </w:r>
    </w:p>
    <w:p>
      <w:pPr>
        <w:spacing w:after="80" w:before="80" w:line="320"/>
        <w:jc w:val="both"/>
      </w:pPr>
      <w:r>
        <w:rPr>
          <w:rFonts w:ascii="Arial" w:cs="Arial" w:eastAsia="Arial" w:hAnsi="Arial"/>
          <w:sz w:val="22"/>
          <w:szCs w:val="22"/>
        </w:rPr>
        <w:t xml:space="preserve">Introduction</w:t>
      </w:r>
    </w:p>
    <w:p>
      <w:pPr>
        <w:spacing w:after="80" w:before="80" w:line="320"/>
        <w:jc w:val="both"/>
      </w:pPr>
      <w:r>
        <w:rPr>
          <w:rFonts w:ascii="Arial" w:cs="Arial" w:eastAsia="Arial" w:hAnsi="Arial"/>
          <w:sz w:val="22"/>
          <w:szCs w:val="22"/>
        </w:rPr>
        <w:t xml:space="preserve">Chapitre 1 – Importance des Algorithmes pour le Génie Électrique et RT</w:t>
      </w:r>
    </w:p>
    <w:p>
      <w:pPr>
        <w:spacing w:after="80" w:before="80" w:line="320"/>
        <w:jc w:val="both"/>
      </w:pPr>
      <w:r>
        <w:rPr>
          <w:rFonts w:ascii="Arial" w:cs="Arial" w:eastAsia="Arial" w:hAnsi="Arial"/>
          <w:sz w:val="22"/>
          <w:szCs w:val="22"/>
        </w:rPr>
        <w:t xml:space="preserve">Chapitre 2 – Recherche Opérationnelle sur les Graphes</w:t>
      </w:r>
    </w:p>
    <w:p>
      <w:pPr>
        <w:spacing w:after="80" w:before="80" w:line="320"/>
        <w:jc w:val="both"/>
      </w:pPr>
      <w:r>
        <w:rPr>
          <w:rFonts w:ascii="Arial" w:cs="Arial" w:eastAsia="Arial" w:hAnsi="Arial"/>
          <w:sz w:val="22"/>
          <w:szCs w:val="22"/>
        </w:rPr>
        <w:t xml:space="preserve">Chapitre 3 – Algorithmes Statiques : Étude d'un Cas Réel au Maroc</w:t>
      </w:r>
    </w:p>
    <w:p>
      <w:pPr>
        <w:spacing w:after="80" w:before="80" w:line="320"/>
        <w:jc w:val="both"/>
      </w:pPr>
      <w:r>
        <w:rPr>
          <w:rFonts w:ascii="Arial" w:cs="Arial" w:eastAsia="Arial" w:hAnsi="Arial"/>
          <w:sz w:val="22"/>
          <w:szCs w:val="22"/>
        </w:rPr>
        <w:t xml:space="preserve">Conclusion</w:t>
      </w:r>
    </w:p>
    <w:p>
      <w:r>
        <w:br w:type="page"/>
      </w:r>
    </w:p>
    <w:p>
      <w:pPr>
        <w:pStyle w:val="Heading1"/>
        <w:spacing w:after="200" w:before="360"/>
      </w:pPr>
      <w:r>
        <w:rPr>
          <w:rFonts w:ascii="Arial" w:cs="Arial" w:eastAsia="Arial" w:hAnsi="Arial"/>
          <w:b/>
          <w:bCs/>
          <w:color w:val="0B2545"/>
          <w:sz w:val="32"/>
          <w:szCs w:val="32"/>
        </w:rPr>
        <w:t xml:space="preserve">Introduction</w:t>
      </w:r>
    </w:p>
    <w:p>
      <w:pPr>
        <w:spacing w:after="80" w:before="80" w:line="320"/>
        <w:jc w:val="both"/>
      </w:pPr>
      <w:r>
        <w:rPr>
          <w:rFonts w:ascii="Arial" w:cs="Arial" w:eastAsia="Arial" w:hAnsi="Arial"/>
          <w:sz w:val="22"/>
          <w:szCs w:val="22"/>
        </w:rPr>
        <w:t xml:space="preserve">La transition vers les véhicules électriques (VE) constitue aujourd'hui l'un des défis les plus importants du secteur de l'énergie et du génie électrique. Au Maroc, comme dans le reste du monde, la croissance rapide du parc de véhicules électriques impose de repenser fondamentalement l'infrastructure de distribution d'énergie. Les réseaux traditionnels, conçus pour une consommation relativement uniforme, doivent désormais intégrer des pics de demande importants et imprévisibles liés à la recharge simultanée de milliers de véhicules.</w:t>
      </w:r>
    </w:p>
    <w:p>
      <w:pPr>
        <w:spacing w:after="120" w:before="120"/>
      </w:pPr>
      <w:r>
        <w:t xml:space="preserve"/>
      </w:r>
    </w:p>
    <w:p>
      <w:pPr>
        <w:spacing w:after="80" w:before="80" w:line="320"/>
        <w:jc w:val="both"/>
      </w:pPr>
      <w:r>
        <w:rPr>
          <w:rFonts w:ascii="Arial" w:cs="Arial" w:eastAsia="Arial" w:hAnsi="Arial"/>
          <w:sz w:val="22"/>
          <w:szCs w:val="22"/>
        </w:rPr>
        <w:t xml:space="preserve">Ce projet propose une approche systémique pour répondre à cette problématique : la modélisation et l'optimisation d'un Réseau Intelligent de Distribution et de Gestion de l'Énergie dédié à la mobilité électrique. Le système est représenté sous forme de graphe, permettant l'application rigoureuse d'algorithmes de Recherche Opérationnelle pour optimiser les flux d'énergie, minimiser les coûts d'infrastructure et garantir la fiabilité de l'alimentation.</w:t>
      </w:r>
    </w:p>
    <w:p>
      <w:pPr>
        <w:spacing w:after="120" w:before="120"/>
      </w:pPr>
      <w:r>
        <w:t xml:space="preserve"/>
      </w:r>
    </w:p>
    <w:p>
      <w:pPr>
        <w:spacing w:after="80" w:before="80" w:line="320"/>
        <w:jc w:val="both"/>
      </w:pPr>
      <w:r>
        <w:rPr>
          <w:rFonts w:ascii="Arial" w:cs="Arial" w:eastAsia="Arial" w:hAnsi="Arial"/>
          <w:sz w:val="22"/>
          <w:szCs w:val="22"/>
        </w:rPr>
        <w:t xml:space="preserve">Le réseau modélisé comprend des sources d'énergie renouvelables (panneaux solaires, éoliennes), des postes de transformation, des lignes haute tension, des stations de recharge rapide et des zones de consommation urbaines. Chaque composante est représentée sous forme de nœud ou d'arc pondéré, et les algorithmes de graphes fournissent des solutions concrètes à des problèmes tels que la détermination du chemin énergétique le plus économique, le calcul du flux maximal ou la conception de l'arbre de connexion à coût minimal.</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Contexte d'application</w:t>
      </w:r>
    </w:p>
    <w:p>
      <w:pPr>
        <w:spacing w:after="80" w:before="80" w:line="320"/>
        <w:jc w:val="both"/>
      </w:pPr>
      <w:r>
        <w:rPr>
          <w:rFonts w:ascii="Arial" w:cs="Arial" w:eastAsia="Arial" w:hAnsi="Arial"/>
          <w:sz w:val="22"/>
          <w:szCs w:val="22"/>
        </w:rPr>
        <w:t xml:space="preserve">Le Maroc, avec son Plan National de l'Électromobilité et ses objectifs ambitieux en matière d'énergies renouvelables (52% de la capacité installée à horizon 2030), offre un terrain d'application idéal pour ce type d'étude. Les villes de Casablanca, Rabat et Marrakech notamment concentrent les premières infrastructures de recharge, et l'ONEE (Office National de l'Électricité et de l'Eau potable) travaille activement à l'adaptation du réseau national.</w:t>
      </w:r>
    </w:p>
    <w:p>
      <w:r>
        <w:br w:type="page"/>
      </w:r>
    </w:p>
    <w:p>
      <w:pPr>
        <w:pStyle w:val="Heading1"/>
        <w:spacing w:after="200" w:before="360"/>
      </w:pPr>
      <w:r>
        <w:rPr>
          <w:rFonts w:ascii="Arial" w:cs="Arial" w:eastAsia="Arial" w:hAnsi="Arial"/>
          <w:b/>
          <w:bCs/>
          <w:color w:val="0B2545"/>
          <w:sz w:val="32"/>
          <w:szCs w:val="32"/>
        </w:rPr>
        <w:t xml:space="preserve">Chapitre 1 – Importance des Algorithmes pour le Génie Électrique et RT</w:t>
      </w:r>
    </w:p>
    <w:p>
      <w:pPr>
        <w:pStyle w:val="Heading2"/>
        <w:spacing w:after="160" w:before="280"/>
      </w:pPr>
      <w:r>
        <w:rPr>
          <w:rFonts w:ascii="Arial" w:cs="Arial" w:eastAsia="Arial" w:hAnsi="Arial"/>
          <w:b/>
          <w:bCs/>
          <w:color w:val="0234A5"/>
          <w:sz w:val="26"/>
          <w:szCs w:val="26"/>
        </w:rPr>
        <w:t xml:space="preserve">1.1 Algorithmes et Génie Électrique</w:t>
      </w:r>
    </w:p>
    <w:p>
      <w:pPr>
        <w:spacing w:after="80" w:before="80" w:line="320"/>
        <w:jc w:val="both"/>
      </w:pPr>
      <w:r>
        <w:rPr>
          <w:rFonts w:ascii="Arial" w:cs="Arial" w:eastAsia="Arial" w:hAnsi="Arial"/>
          <w:sz w:val="22"/>
          <w:szCs w:val="22"/>
        </w:rPr>
        <w:t xml:space="preserve">Le génie électrique moderne repose de plus en plus sur des outils algorithmiques pour la conception, l'optimisation et la gestion des systèmes. Qu'il s'agisse de dimensionner un réseau de distribution, de planifier la production d'une centrale ou de gérer la charge d'un parc de véhicules électriques, les algorithmes offrent des solutions systématiques là où l'intuition humaine atteint ses limites.</w:t>
      </w:r>
    </w:p>
    <w:p>
      <w:pPr>
        <w:spacing w:after="120" w:before="120"/>
      </w:pPr>
      <w:r>
        <w:t xml:space="preserve"/>
      </w:r>
    </w:p>
    <w:p>
      <w:pPr>
        <w:spacing w:after="80" w:before="80" w:line="320"/>
        <w:jc w:val="both"/>
      </w:pPr>
      <w:r>
        <w:rPr>
          <w:rFonts w:ascii="Arial" w:cs="Arial" w:eastAsia="Arial" w:hAnsi="Arial"/>
          <w:sz w:val="22"/>
          <w:szCs w:val="22"/>
        </w:rPr>
        <w:t xml:space="preserve">Dans le contexte des Smart Grids, les algorithmes jouent un rôle fondamental dans les domaines suivants :</w:t>
      </w:r>
    </w:p>
    <w:p>
      <w:pPr>
        <w:pStyle w:val="ListParagraph"/>
        <w:numPr>
          <w:ilvl w:val="0"/>
          <w:numId w:val="2"/>
        </w:numPr>
        <w:spacing w:after="60" w:before="60"/>
      </w:pPr>
      <w:r>
        <w:rPr>
          <w:rFonts w:ascii="Arial" w:cs="Arial" w:eastAsia="Arial" w:hAnsi="Arial"/>
          <w:sz w:val="22"/>
          <w:szCs w:val="22"/>
        </w:rPr>
        <w:t xml:space="preserve">Gestion dynamique de la charge et équilibrage offre-demande en temps réel</w:t>
      </w:r>
    </w:p>
    <w:p>
      <w:pPr>
        <w:pStyle w:val="ListParagraph"/>
        <w:numPr>
          <w:ilvl w:val="0"/>
          <w:numId w:val="2"/>
        </w:numPr>
        <w:spacing w:after="60" w:before="60"/>
      </w:pPr>
      <w:r>
        <w:rPr>
          <w:rFonts w:ascii="Arial" w:cs="Arial" w:eastAsia="Arial" w:hAnsi="Arial"/>
          <w:sz w:val="22"/>
          <w:szCs w:val="22"/>
        </w:rPr>
        <w:t xml:space="preserve">Optimisation du placement et du dimensionnement des sources d'énergie renouvelables</w:t>
      </w:r>
    </w:p>
    <w:p>
      <w:pPr>
        <w:pStyle w:val="ListParagraph"/>
        <w:numPr>
          <w:ilvl w:val="0"/>
          <w:numId w:val="2"/>
        </w:numPr>
        <w:spacing w:after="60" w:before="60"/>
      </w:pPr>
      <w:r>
        <w:rPr>
          <w:rFonts w:ascii="Arial" w:cs="Arial" w:eastAsia="Arial" w:hAnsi="Arial"/>
          <w:sz w:val="22"/>
          <w:szCs w:val="22"/>
        </w:rPr>
        <w:t xml:space="preserve">Détection et localisation des défauts dans les réseaux électriques</w:t>
      </w:r>
    </w:p>
    <w:p>
      <w:pPr>
        <w:pStyle w:val="ListParagraph"/>
        <w:numPr>
          <w:ilvl w:val="0"/>
          <w:numId w:val="2"/>
        </w:numPr>
        <w:spacing w:after="60" w:before="60"/>
      </w:pPr>
      <w:r>
        <w:rPr>
          <w:rFonts w:ascii="Arial" w:cs="Arial" w:eastAsia="Arial" w:hAnsi="Arial"/>
          <w:sz w:val="22"/>
          <w:szCs w:val="22"/>
        </w:rPr>
        <w:t xml:space="preserve">Planification des infrastructures de recharge à moindre coût</w:t>
      </w:r>
    </w:p>
    <w:p>
      <w:pPr>
        <w:pStyle w:val="ListParagraph"/>
        <w:numPr>
          <w:ilvl w:val="0"/>
          <w:numId w:val="2"/>
        </w:numPr>
        <w:spacing w:after="60" w:before="60"/>
      </w:pPr>
      <w:r>
        <w:rPr>
          <w:rFonts w:ascii="Arial" w:cs="Arial" w:eastAsia="Arial" w:hAnsi="Arial"/>
          <w:sz w:val="22"/>
          <w:szCs w:val="22"/>
        </w:rPr>
        <w:t xml:space="preserve">Ordonnancement de la recharge intelligente des flottes de véhicules électriques</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1.2 Algorithmes et Réseaux &amp; Télécommunications</w:t>
      </w:r>
    </w:p>
    <w:p>
      <w:pPr>
        <w:spacing w:after="80" w:before="80" w:line="320"/>
        <w:jc w:val="both"/>
      </w:pPr>
      <w:r>
        <w:rPr>
          <w:rFonts w:ascii="Arial" w:cs="Arial" w:eastAsia="Arial" w:hAnsi="Arial"/>
          <w:sz w:val="22"/>
          <w:szCs w:val="22"/>
        </w:rPr>
        <w:t xml:space="preserve">En Génie des Réseaux et Télécommunications, les algorithmes de graphes constituent le fondement de protocoles de routage (OSPF, BGP), d'optimisation de bande passante et de détection de pannes. Ces mêmes principes s'appliquent directement aux réseaux énergétiques communicants qui composent les Smart Grids : chaque nœud du réseau électrique est aussi un nœud de communication, transmettant des données de mesure et recevant des commandes de contrôle.</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1.3 Tableau récapitulatif : Algorithmes et domaines d'application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0D5E8" w:sz="1"/>
              <w:left w:val="single" w:color="D0D5E8" w:sz="1"/>
              <w:bottom w:val="single" w:color="D0D5E8" w:sz="1"/>
              <w:right w:val="single" w:color="D0D5E8" w:sz="1"/>
            </w:tcBorders>
            <w:shd w:fill="0B2545" w:val="clear"/>
            <w:tcMar>
              <w:top w:type="dxa" w:w="100"/>
              <w:left w:type="dxa" w:w="180"/>
              <w:bottom w:type="dxa" w:w="100"/>
              <w:right w:type="dxa" w:w="180"/>
            </w:tcMar>
          </w:tcPr>
          <w:p>
            <w:r>
              <w:rPr>
                <w:rFonts w:ascii="Arial" w:cs="Arial" w:eastAsia="Arial" w:hAnsi="Arial"/>
                <w:b/>
                <w:bCs/>
                <w:color w:val="FFFFFF"/>
                <w:sz w:val="20"/>
                <w:szCs w:val="20"/>
              </w:rPr>
              <w:t xml:space="preserve">Algorithme</w:t>
            </w:r>
          </w:p>
        </w:tc>
        <w:tc>
          <w:tcPr>
            <w:tcW w:type="dxa" w:w="5526"/>
            <w:tcBorders>
              <w:top w:val="single" w:color="D0D5E8" w:sz="1"/>
              <w:left w:val="single" w:color="D0D5E8" w:sz="1"/>
              <w:bottom w:val="single" w:color="D0D5E8" w:sz="1"/>
              <w:right w:val="single" w:color="D0D5E8" w:sz="1"/>
            </w:tcBorders>
            <w:shd w:fill="0B2545" w:val="clear"/>
            <w:tcMar>
              <w:top w:type="dxa" w:w="100"/>
              <w:left w:type="dxa" w:w="180"/>
              <w:bottom w:type="dxa" w:w="100"/>
              <w:right w:type="dxa" w:w="180"/>
            </w:tcMar>
          </w:tcPr>
          <w:p>
            <w:r>
              <w:rPr>
                <w:rFonts w:ascii="Arial" w:cs="Arial" w:eastAsia="Arial" w:hAnsi="Arial"/>
                <w:b/>
                <w:bCs/>
                <w:color w:val="FFFFFF"/>
                <w:sz w:val="20"/>
                <w:szCs w:val="20"/>
              </w:rPr>
              <w:t xml:space="preserve">Application en Génie Électrique / RT</w:t>
            </w:r>
          </w:p>
        </w:tc>
      </w:tr>
      <w:tr>
        <w:tc>
          <w:tcPr>
            <w:tcW w:type="dxa" w:w="3500"/>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Dijkstra</w:t>
            </w:r>
          </w:p>
        </w:tc>
        <w:tc>
          <w:tcPr>
            <w:tcW w:type="dxa" w:w="5526"/>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Routage optimal de l'énergie, protocoles de routage (OSPF)</w:t>
            </w:r>
          </w:p>
        </w:tc>
      </w:tr>
      <w:tr>
        <w:tc>
          <w:tcPr>
            <w:tcW w:type="dxa" w:w="3500"/>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Bellman-Ford</w:t>
            </w:r>
          </w:p>
        </w:tc>
        <w:tc>
          <w:tcPr>
            <w:tcW w:type="dxa" w:w="5526"/>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Gestion des coûts variables, réseaux avec contraintes négatives</w:t>
            </w:r>
          </w:p>
        </w:tc>
      </w:tr>
      <w:tr>
        <w:tc>
          <w:tcPr>
            <w:tcW w:type="dxa" w:w="3500"/>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Kruskal</w:t>
            </w:r>
          </w:p>
        </w:tc>
        <w:tc>
          <w:tcPr>
            <w:tcW w:type="dxa" w:w="5526"/>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Conception du réseau à coût minimal (MST)</w:t>
            </w:r>
          </w:p>
        </w:tc>
      </w:tr>
      <w:tr>
        <w:tc>
          <w:tcPr>
            <w:tcW w:type="dxa" w:w="3500"/>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Welsh-Powell</w:t>
            </w:r>
          </w:p>
        </w:tc>
        <w:tc>
          <w:tcPr>
            <w:tcW w:type="dxa" w:w="5526"/>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Coloration de fréquences, gestion des conflits de charge</w:t>
            </w:r>
          </w:p>
        </w:tc>
      </w:tr>
      <w:tr>
        <w:tc>
          <w:tcPr>
            <w:tcW w:type="dxa" w:w="3500"/>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Ford-Fulkerson</w:t>
            </w:r>
          </w:p>
        </w:tc>
        <w:tc>
          <w:tcPr>
            <w:tcW w:type="dxa" w:w="5526"/>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Calcul du flux maximal dans les lignes haute tension</w:t>
            </w:r>
          </w:p>
        </w:tc>
      </w:tr>
      <w:tr>
        <w:tc>
          <w:tcPr>
            <w:tcW w:type="dxa" w:w="3500"/>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Nord-Ouest / Moindre Coût</w:t>
            </w:r>
          </w:p>
        </w:tc>
        <w:tc>
          <w:tcPr>
            <w:tcW w:type="dxa" w:w="5526"/>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Répartition initiale des flux d'énergie entre sources et postes</w:t>
            </w:r>
          </w:p>
        </w:tc>
      </w:tr>
      <w:tr>
        <w:tc>
          <w:tcPr>
            <w:tcW w:type="dxa" w:w="3500"/>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Simplexe</w:t>
            </w:r>
          </w:p>
        </w:tc>
        <w:tc>
          <w:tcPr>
            <w:tcW w:type="dxa" w:w="5526"/>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Optimisation linéaire globale sous contraintes budgétaires</w:t>
            </w:r>
          </w:p>
        </w:tc>
      </w:tr>
    </w:tbl>
    <w:p>
      <w:r>
        <w:br w:type="page"/>
      </w:r>
    </w:p>
    <w:p>
      <w:pPr>
        <w:pStyle w:val="Heading1"/>
        <w:spacing w:after="200" w:before="360"/>
      </w:pPr>
      <w:r>
        <w:rPr>
          <w:rFonts w:ascii="Arial" w:cs="Arial" w:eastAsia="Arial" w:hAnsi="Arial"/>
          <w:b/>
          <w:bCs/>
          <w:color w:val="0B2545"/>
          <w:sz w:val="32"/>
          <w:szCs w:val="32"/>
        </w:rPr>
        <w:t xml:space="preserve">Chapitre 2 – Recherche Opérationnelle sur les Graphes</w:t>
      </w:r>
    </w:p>
    <w:p>
      <w:pPr>
        <w:pStyle w:val="Heading2"/>
        <w:spacing w:after="160" w:before="280"/>
      </w:pPr>
      <w:r>
        <w:rPr>
          <w:rFonts w:ascii="Arial" w:cs="Arial" w:eastAsia="Arial" w:hAnsi="Arial"/>
          <w:b/>
          <w:bCs/>
          <w:color w:val="0234A5"/>
          <w:sz w:val="26"/>
          <w:szCs w:val="26"/>
        </w:rPr>
        <w:t xml:space="preserve">2.1 Modélisation du réseau sous forme de graphe</w:t>
      </w:r>
    </w:p>
    <w:p>
      <w:pPr>
        <w:spacing w:after="80" w:before="80" w:line="320"/>
        <w:jc w:val="both"/>
      </w:pPr>
      <w:r>
        <w:rPr>
          <w:rFonts w:ascii="Arial" w:cs="Arial" w:eastAsia="Arial" w:hAnsi="Arial"/>
          <w:sz w:val="22"/>
          <w:szCs w:val="22"/>
        </w:rPr>
        <w:t xml:space="preserve">Le réseau intelligent de distribution d'énergie pour la mobilité électrique est formalisé comme un graphe G = (S, A, W) où S est l'ensemble des sommets (nœuds du réseau), A l'ensemble des arcs (lignes électriques ou connexions de transport) et W la fonction de pondération représentant les coûts, capacités ou distances.</w:t>
      </w:r>
    </w:p>
    <w:p>
      <w:pPr>
        <w:spacing w:after="120" w:before="120"/>
      </w:pPr>
      <w:r>
        <w:t xml:space="preserve"/>
      </w:r>
    </w:p>
    <w:p>
      <w:pPr>
        <w:spacing w:after="80" w:before="80" w:line="320"/>
        <w:jc w:val="both"/>
      </w:pPr>
      <w:r>
        <w:rPr>
          <w:rFonts w:ascii="Arial" w:cs="Arial" w:eastAsia="Arial" w:hAnsi="Arial"/>
          <w:sz w:val="22"/>
          <w:szCs w:val="22"/>
        </w:rPr>
        <w:t xml:space="preserve">Les nœuds du graphe représentent :</w:t>
      </w:r>
    </w:p>
    <w:p>
      <w:pPr>
        <w:pStyle w:val="ListParagraph"/>
        <w:numPr>
          <w:ilvl w:val="0"/>
          <w:numId w:val="2"/>
        </w:numPr>
        <w:spacing w:after="60" w:before="60"/>
      </w:pPr>
      <w:r>
        <w:rPr>
          <w:rFonts w:ascii="Arial" w:cs="Arial" w:eastAsia="Arial" w:hAnsi="Arial"/>
          <w:sz w:val="22"/>
          <w:szCs w:val="22"/>
        </w:rPr>
        <w:t xml:space="preserve">Sources d'énergie : panneaux solaires, éoliennes, raccordement au réseau national</w:t>
      </w:r>
    </w:p>
    <w:p>
      <w:pPr>
        <w:pStyle w:val="ListParagraph"/>
        <w:numPr>
          <w:ilvl w:val="0"/>
          <w:numId w:val="2"/>
        </w:numPr>
        <w:spacing w:after="60" w:before="60"/>
      </w:pPr>
      <w:r>
        <w:rPr>
          <w:rFonts w:ascii="Arial" w:cs="Arial" w:eastAsia="Arial" w:hAnsi="Arial"/>
          <w:sz w:val="22"/>
          <w:szCs w:val="22"/>
        </w:rPr>
        <w:t xml:space="preserve">Postes de transformation (haute tension → moyenne tension → basse tension)</w:t>
      </w:r>
    </w:p>
    <w:p>
      <w:pPr>
        <w:pStyle w:val="ListParagraph"/>
        <w:numPr>
          <w:ilvl w:val="0"/>
          <w:numId w:val="2"/>
        </w:numPr>
        <w:spacing w:after="60" w:before="60"/>
      </w:pPr>
      <w:r>
        <w:rPr>
          <w:rFonts w:ascii="Arial" w:cs="Arial" w:eastAsia="Arial" w:hAnsi="Arial"/>
          <w:sz w:val="22"/>
          <w:szCs w:val="22"/>
        </w:rPr>
        <w:t xml:space="preserve">Stations de recharge rapide (fast-charging) et semi-rapide</w:t>
      </w:r>
    </w:p>
    <w:p>
      <w:pPr>
        <w:pStyle w:val="ListParagraph"/>
        <w:numPr>
          <w:ilvl w:val="0"/>
          <w:numId w:val="2"/>
        </w:numPr>
        <w:spacing w:after="60" w:before="60"/>
      </w:pPr>
      <w:r>
        <w:rPr>
          <w:rFonts w:ascii="Arial" w:cs="Arial" w:eastAsia="Arial" w:hAnsi="Arial"/>
          <w:sz w:val="22"/>
          <w:szCs w:val="22"/>
        </w:rPr>
        <w:t xml:space="preserve">Zones de consommation résidentielles, commerciales et industrielles</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2.2 Algorithmes de graphes appliqués</w:t>
      </w:r>
    </w:p>
    <w:p>
      <w:pPr>
        <w:spacing w:after="120" w:before="200"/>
      </w:pPr>
      <w:r>
        <w:rPr>
          <w:rFonts w:ascii="Arial" w:cs="Arial" w:eastAsia="Arial" w:hAnsi="Arial"/>
          <w:b/>
          <w:bCs/>
          <w:color w:val="1B6B3A"/>
          <w:sz w:val="22"/>
          <w:szCs w:val="22"/>
        </w:rPr>
        <w:t xml:space="preserve">Welsh-Powell – Planification des créneaux de recharge</w:t>
      </w:r>
    </w:p>
    <w:p>
      <w:pPr>
        <w:spacing w:after="80" w:before="80" w:line="320"/>
        <w:jc w:val="both"/>
      </w:pPr>
      <w:r>
        <w:rPr>
          <w:rFonts w:ascii="Arial" w:cs="Arial" w:eastAsia="Arial" w:hAnsi="Arial"/>
          <w:sz w:val="22"/>
          <w:szCs w:val="22"/>
        </w:rPr>
        <w:t xml:space="preserve">L'algorithme de Welsh-Powell effectue une coloration optimale des sommets d'un graphe en classant les nœuds par degré décroissant. Dans notre contexte, chaque station de recharge est un sommet, et deux stations en conflit (alimentation simultanée dépassant la capacité du poste de transformation) sont reliées par une arête. La coloration obtenue définit des créneaux horaires distincts, garantissant qu'aucun groupe de stations n'excède la puissance disponible.</w:t>
      </w:r>
    </w:p>
    <w:p>
      <w:pPr>
        <w:pStyle w:val="ListParagraph"/>
        <w:numPr>
          <w:ilvl w:val="0"/>
          <w:numId w:val="2"/>
        </w:numPr>
        <w:spacing w:after="60" w:before="60"/>
      </w:pPr>
      <w:r>
        <w:rPr>
          <w:rFonts w:ascii="Arial" w:cs="Arial" w:eastAsia="Arial" w:hAnsi="Arial"/>
          <w:sz w:val="22"/>
          <w:szCs w:val="22"/>
        </w:rPr>
        <w:t xml:space="preserve">Paramètre clé : densité du graphe de conflit (10–100%)</w:t>
      </w:r>
    </w:p>
    <w:p>
      <w:pPr>
        <w:pStyle w:val="ListParagraph"/>
        <w:numPr>
          <w:ilvl w:val="0"/>
          <w:numId w:val="2"/>
        </w:numPr>
        <w:spacing w:after="60" w:before="60"/>
      </w:pPr>
      <w:r>
        <w:rPr>
          <w:rFonts w:ascii="Arial" w:cs="Arial" w:eastAsia="Arial" w:hAnsi="Arial"/>
          <w:sz w:val="22"/>
          <w:szCs w:val="22"/>
        </w:rPr>
        <w:t xml:space="preserve">Résultat : nombre chromatique χ(G) = nombre minimal de créneaux nécessaires</w:t>
      </w:r>
    </w:p>
    <w:p>
      <w:pPr>
        <w:spacing w:after="120" w:before="120"/>
      </w:pPr>
      <w:r>
        <w:t xml:space="preserve"/>
      </w:r>
    </w:p>
    <w:p>
      <w:pPr>
        <w:spacing w:after="120" w:before="200"/>
      </w:pPr>
      <w:r>
        <w:rPr>
          <w:rFonts w:ascii="Arial" w:cs="Arial" w:eastAsia="Arial" w:hAnsi="Arial"/>
          <w:b/>
          <w:bCs/>
          <w:color w:val="1B6B3A"/>
          <w:sz w:val="22"/>
          <w:szCs w:val="22"/>
        </w:rPr>
        <w:t xml:space="preserve">Kruskal – Conception du réseau à coût minimal</w:t>
      </w:r>
    </w:p>
    <w:p>
      <w:pPr>
        <w:spacing w:after="80" w:before="80" w:line="320"/>
        <w:jc w:val="both"/>
      </w:pPr>
      <w:r>
        <w:rPr>
          <w:rFonts w:ascii="Arial" w:cs="Arial" w:eastAsia="Arial" w:hAnsi="Arial"/>
          <w:sz w:val="22"/>
          <w:szCs w:val="22"/>
        </w:rPr>
        <w:t xml:space="preserve">L'algorithme de Kruskal construit l'Arbre Couvrant Minimal (ACM) du réseau, permettant de relier tous les nœuds (sources, postes, stations) au coût de câblage minimal, sans créer de boucles inutiles. Il sélectionne itérativement l'arête de moindre poids qui n'introduit pas de cycle, jusqu'à obtenir un arbre couvrant tous les n sommets avec exactement n−1 arêtes.</w:t>
      </w:r>
    </w:p>
    <w:p>
      <w:pPr>
        <w:pStyle w:val="ListParagraph"/>
        <w:numPr>
          <w:ilvl w:val="0"/>
          <w:numId w:val="2"/>
        </w:numPr>
        <w:spacing w:after="60" w:before="60"/>
      </w:pPr>
      <w:r>
        <w:rPr>
          <w:rFonts w:ascii="Arial" w:cs="Arial" w:eastAsia="Arial" w:hAnsi="Arial"/>
          <w:sz w:val="22"/>
          <w:szCs w:val="22"/>
        </w:rPr>
        <w:t xml:space="preserve">Critère d'arrêt : n − 1 arêtes sélectionnées</w:t>
      </w:r>
    </w:p>
    <w:p>
      <w:pPr>
        <w:pStyle w:val="ListParagraph"/>
        <w:numPr>
          <w:ilvl w:val="0"/>
          <w:numId w:val="2"/>
        </w:numPr>
        <w:spacing w:after="60" w:before="60"/>
      </w:pPr>
      <w:r>
        <w:rPr>
          <w:rFonts w:ascii="Arial" w:cs="Arial" w:eastAsia="Arial" w:hAnsi="Arial"/>
          <w:sz w:val="22"/>
          <w:szCs w:val="22"/>
        </w:rPr>
        <w:t xml:space="preserve">Complexité : O(m log m) où m est le nombre d'arêtes</w:t>
      </w:r>
    </w:p>
    <w:p>
      <w:pPr>
        <w:spacing w:after="120" w:before="120"/>
      </w:pPr>
      <w:r>
        <w:t xml:space="preserve"/>
      </w:r>
    </w:p>
    <w:p>
      <w:pPr>
        <w:spacing w:after="120" w:before="200"/>
      </w:pPr>
      <w:r>
        <w:rPr>
          <w:rFonts w:ascii="Arial" w:cs="Arial" w:eastAsia="Arial" w:hAnsi="Arial"/>
          <w:b/>
          <w:bCs/>
          <w:color w:val="1B6B3A"/>
          <w:sz w:val="22"/>
          <w:szCs w:val="22"/>
        </w:rPr>
        <w:t xml:space="preserve">Dijkstra – Chemin énergétique le plus économique</w:t>
      </w:r>
    </w:p>
    <w:p>
      <w:pPr>
        <w:spacing w:after="80" w:before="80" w:line="320"/>
        <w:jc w:val="both"/>
      </w:pPr>
      <w:r>
        <w:rPr>
          <w:rFonts w:ascii="Arial" w:cs="Arial" w:eastAsia="Arial" w:hAnsi="Arial"/>
          <w:sz w:val="22"/>
          <w:szCs w:val="22"/>
        </w:rPr>
        <w:t xml:space="preserve">L'algorithme de Dijkstra détermine le chemin de coût minimal depuis une source d'énergie vers toutes les stations de recharge. Le poids de chaque arc représente le coût de transport de l'énergie (pertes en ligne, coût de transformation). Cet algorithme garantit une solution optimale pour les graphes à poids positifs.</w:t>
      </w:r>
    </w:p>
    <w:p>
      <w:pPr>
        <w:pStyle w:val="ListParagraph"/>
        <w:numPr>
          <w:ilvl w:val="0"/>
          <w:numId w:val="2"/>
        </w:numPr>
        <w:spacing w:after="60" w:before="60"/>
      </w:pPr>
      <w:r>
        <w:rPr>
          <w:rFonts w:ascii="Arial" w:cs="Arial" w:eastAsia="Arial" w:hAnsi="Arial"/>
          <w:sz w:val="22"/>
          <w:szCs w:val="22"/>
        </w:rPr>
        <w:t xml:space="preserve">Applicable aux graphes non orientés et orientés à poids positifs</w:t>
      </w:r>
    </w:p>
    <w:p>
      <w:pPr>
        <w:pStyle w:val="ListParagraph"/>
        <w:numPr>
          <w:ilvl w:val="0"/>
          <w:numId w:val="2"/>
        </w:numPr>
        <w:spacing w:after="60" w:before="60"/>
      </w:pPr>
      <w:r>
        <w:rPr>
          <w:rFonts w:ascii="Arial" w:cs="Arial" w:eastAsia="Arial" w:hAnsi="Arial"/>
          <w:sz w:val="22"/>
          <w:szCs w:val="22"/>
        </w:rPr>
        <w:t xml:space="preserve">Complexité : O(n²) en implémentation matricielle</w:t>
      </w:r>
    </w:p>
    <w:p>
      <w:pPr>
        <w:spacing w:after="120" w:before="120"/>
      </w:pPr>
      <w:r>
        <w:t xml:space="preserve"/>
      </w:r>
    </w:p>
    <w:p>
      <w:pPr>
        <w:spacing w:after="120" w:before="200"/>
      </w:pPr>
      <w:r>
        <w:rPr>
          <w:rFonts w:ascii="Arial" w:cs="Arial" w:eastAsia="Arial" w:hAnsi="Arial"/>
          <w:b/>
          <w:bCs/>
          <w:color w:val="1B6B3A"/>
          <w:sz w:val="22"/>
          <w:szCs w:val="22"/>
        </w:rPr>
        <w:t xml:space="preserve">Bellman-Ford – Gestion des variations de coût</w:t>
      </w:r>
    </w:p>
    <w:p>
      <w:pPr>
        <w:spacing w:after="80" w:before="80" w:line="320"/>
        <w:jc w:val="both"/>
      </w:pPr>
      <w:r>
        <w:rPr>
          <w:rFonts w:ascii="Arial" w:cs="Arial" w:eastAsia="Arial" w:hAnsi="Arial"/>
          <w:sz w:val="22"/>
          <w:szCs w:val="22"/>
        </w:rPr>
        <w:t xml:space="preserve">Bellman-Ford s'applique aux graphes orientés pouvant comporter des arcs de poids négatif, utiles pour modéliser des subventions ou des remises sur certains tronçons du réseau. Il effectue n−1 itérations de relaxation sur toutes les arêtes.</w:t>
      </w:r>
    </w:p>
    <w:p>
      <w:pPr>
        <w:pStyle w:val="ListParagraph"/>
        <w:numPr>
          <w:ilvl w:val="0"/>
          <w:numId w:val="2"/>
        </w:numPr>
        <w:spacing w:after="60" w:before="60"/>
      </w:pPr>
      <w:r>
        <w:rPr>
          <w:rFonts w:ascii="Arial" w:cs="Arial" w:eastAsia="Arial" w:hAnsi="Arial"/>
          <w:sz w:val="22"/>
          <w:szCs w:val="22"/>
        </w:rPr>
        <w:t xml:space="preserve">Avantage sur Dijkstra : détection des cycles de poids négatif</w:t>
      </w:r>
    </w:p>
    <w:p>
      <w:pPr>
        <w:pStyle w:val="ListParagraph"/>
        <w:numPr>
          <w:ilvl w:val="0"/>
          <w:numId w:val="2"/>
        </w:numPr>
        <w:spacing w:after="60" w:before="60"/>
      </w:pPr>
      <w:r>
        <w:rPr>
          <w:rFonts w:ascii="Arial" w:cs="Arial" w:eastAsia="Arial" w:hAnsi="Arial"/>
          <w:sz w:val="22"/>
          <w:szCs w:val="22"/>
        </w:rPr>
        <w:t xml:space="preserve">Critère de convergence anticipée : stabilité des distances sur deux itérations successives</w:t>
      </w:r>
    </w:p>
    <w:p>
      <w:pPr>
        <w:spacing w:after="120" w:before="120"/>
      </w:pPr>
      <w:r>
        <w:t xml:space="preserve"/>
      </w:r>
    </w:p>
    <w:p>
      <w:pPr>
        <w:spacing w:after="120" w:before="200"/>
      </w:pPr>
      <w:r>
        <w:rPr>
          <w:rFonts w:ascii="Arial" w:cs="Arial" w:eastAsia="Arial" w:hAnsi="Arial"/>
          <w:b/>
          <w:bCs/>
          <w:color w:val="1B6B3A"/>
          <w:sz w:val="22"/>
          <w:szCs w:val="22"/>
        </w:rPr>
        <w:t xml:space="preserve">Ford-Fulkerson – Flux maximal d'énergie</w:t>
      </w:r>
    </w:p>
    <w:p>
      <w:pPr>
        <w:spacing w:after="80" w:before="80" w:line="320"/>
        <w:jc w:val="both"/>
      </w:pPr>
      <w:r>
        <w:rPr>
          <w:rFonts w:ascii="Arial" w:cs="Arial" w:eastAsia="Arial" w:hAnsi="Arial"/>
          <w:sz w:val="22"/>
          <w:szCs w:val="22"/>
        </w:rPr>
        <w:t xml:space="preserve">L'algorithme de Ford-Fulkerson calcule le flux maximal pouvant transiter de la source principale (réseau national / fermes solaires) vers le puits (ensemble des stations de recharge). Chaque arc a une capacité maximale (puissance de la ligne en kW). L'algorithme identifie itérativement des chemins augmentants jusqu'à saturation.</w:t>
      </w:r>
    </w:p>
    <w:p>
      <w:pPr>
        <w:pStyle w:val="ListParagraph"/>
        <w:numPr>
          <w:ilvl w:val="0"/>
          <w:numId w:val="2"/>
        </w:numPr>
        <w:spacing w:after="60" w:before="60"/>
      </w:pPr>
      <w:r>
        <w:rPr>
          <w:rFonts w:ascii="Arial" w:cs="Arial" w:eastAsia="Arial" w:hAnsi="Arial"/>
          <w:sz w:val="22"/>
          <w:szCs w:val="22"/>
        </w:rPr>
        <w:t xml:space="preserve">Résultat clé : capacité maximale de recharge simultanée du réseau</w:t>
      </w:r>
    </w:p>
    <w:p>
      <w:pPr>
        <w:pStyle w:val="ListParagraph"/>
        <w:numPr>
          <w:ilvl w:val="0"/>
          <w:numId w:val="2"/>
        </w:numPr>
        <w:spacing w:after="60" w:before="60"/>
      </w:pPr>
      <w:r>
        <w:rPr>
          <w:rFonts w:ascii="Arial" w:cs="Arial" w:eastAsia="Arial" w:hAnsi="Arial"/>
          <w:sz w:val="22"/>
          <w:szCs w:val="22"/>
        </w:rPr>
        <w:t xml:space="preserve">Application : identification des goulets d'étranglement (lignes saturées)</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2.3 Algorithmes de transport</w:t>
      </w:r>
    </w:p>
    <w:p>
      <w:pPr>
        <w:spacing w:after="120" w:before="200"/>
      </w:pPr>
      <w:r>
        <w:rPr>
          <w:rFonts w:ascii="Arial" w:cs="Arial" w:eastAsia="Arial" w:hAnsi="Arial"/>
          <w:b/>
          <w:bCs/>
          <w:color w:val="1B6B3A"/>
          <w:sz w:val="22"/>
          <w:szCs w:val="22"/>
        </w:rPr>
        <w:t xml:space="preserve">Méthode du Nord-Ouest</w:t>
      </w:r>
    </w:p>
    <w:p>
      <w:pPr>
        <w:spacing w:after="80" w:before="80" w:line="320"/>
        <w:jc w:val="both"/>
      </w:pPr>
      <w:r>
        <w:rPr>
          <w:rFonts w:ascii="Arial" w:cs="Arial" w:eastAsia="Arial" w:hAnsi="Arial"/>
          <w:sz w:val="22"/>
          <w:szCs w:val="22"/>
        </w:rPr>
        <w:t xml:space="preserve">La méthode du coin Nord-Ouest fournit une solution initiale réalisable au problème de transport d'énergie entre m sources et n destinations. Elle alloue les flux en partant du coin supérieur gauche du tableau de transport, saturant successivement les offres et demandes.</w:t>
      </w:r>
    </w:p>
    <w:p>
      <w:pPr>
        <w:spacing w:after="120" w:before="120"/>
      </w:pPr>
      <w:r>
        <w:t xml:space="preserve"/>
      </w:r>
    </w:p>
    <w:p>
      <w:pPr>
        <w:spacing w:after="120" w:before="200"/>
      </w:pPr>
      <w:r>
        <w:rPr>
          <w:rFonts w:ascii="Arial" w:cs="Arial" w:eastAsia="Arial" w:hAnsi="Arial"/>
          <w:b/>
          <w:bCs/>
          <w:color w:val="1B6B3A"/>
          <w:sz w:val="22"/>
          <w:szCs w:val="22"/>
        </w:rPr>
        <w:t xml:space="preserve">Méthode du Moindre Coût</w:t>
      </w:r>
    </w:p>
    <w:p>
      <w:pPr>
        <w:spacing w:after="80" w:before="80" w:line="320"/>
        <w:jc w:val="both"/>
      </w:pPr>
      <w:r>
        <w:rPr>
          <w:rFonts w:ascii="Arial" w:cs="Arial" w:eastAsia="Arial" w:hAnsi="Arial"/>
          <w:sz w:val="22"/>
          <w:szCs w:val="22"/>
        </w:rPr>
        <w:t xml:space="preserve">Cette méthode améliore la solution initiale en allouant d'abord aux cases de moindre coût. Elle produit en général une solution de départ de meilleure qualité que la méthode du Nord-Ouest, réduisant le coût total de distribution avant toute optimisation.</w:t>
      </w:r>
    </w:p>
    <w:p>
      <w:pPr>
        <w:spacing w:after="120" w:before="120"/>
      </w:pPr>
      <w:r>
        <w:t xml:space="preserve"/>
      </w:r>
    </w:p>
    <w:p>
      <w:pPr>
        <w:spacing w:after="120" w:before="200"/>
      </w:pPr>
      <w:r>
        <w:rPr>
          <w:rFonts w:ascii="Arial" w:cs="Arial" w:eastAsia="Arial" w:hAnsi="Arial"/>
          <w:b/>
          <w:bCs/>
          <w:color w:val="1B6B3A"/>
          <w:sz w:val="22"/>
          <w:szCs w:val="22"/>
        </w:rPr>
        <w:t xml:space="preserve">Simplexe – Optimisation linéaire globale</w:t>
      </w:r>
    </w:p>
    <w:p>
      <w:pPr>
        <w:spacing w:after="80" w:before="80" w:line="320"/>
        <w:jc w:val="both"/>
      </w:pPr>
      <w:r>
        <w:rPr>
          <w:rFonts w:ascii="Arial" w:cs="Arial" w:eastAsia="Arial" w:hAnsi="Arial"/>
          <w:sz w:val="22"/>
          <w:szCs w:val="22"/>
        </w:rPr>
        <w:t xml:space="preserve">Le Simplexe résout le problème d'optimisation globale du réseau sous contraintes linéaires : maximiser l'énergie distribuée ou minimiser le coût total d'exploitation tout en respectant les contraintes de capacité des lignes, les besoins minimaux des stations et les limites de production des sources.</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2.4 Avantages des algorithmes dans le contexte Smart Grid</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0D5E8" w:sz="1"/>
              <w:left w:val="single" w:color="D0D5E8" w:sz="1"/>
              <w:bottom w:val="single" w:color="D0D5E8" w:sz="1"/>
              <w:right w:val="single" w:color="D0D5E8" w:sz="1"/>
            </w:tcBorders>
            <w:shd w:fill="0B2545" w:val="clear"/>
            <w:tcMar>
              <w:top w:type="dxa" w:w="100"/>
              <w:left w:type="dxa" w:w="180"/>
              <w:bottom w:type="dxa" w:w="100"/>
              <w:right w:type="dxa" w:w="180"/>
            </w:tcMar>
          </w:tcPr>
          <w:p>
            <w:r>
              <w:rPr>
                <w:rFonts w:ascii="Arial" w:cs="Arial" w:eastAsia="Arial" w:hAnsi="Arial"/>
                <w:b/>
                <w:bCs/>
                <w:color w:val="FFFFFF"/>
                <w:sz w:val="20"/>
                <w:szCs w:val="20"/>
              </w:rPr>
              <w:t xml:space="preserve">Avantage</w:t>
            </w:r>
          </w:p>
        </w:tc>
        <w:tc>
          <w:tcPr>
            <w:tcW w:type="dxa" w:w="5526"/>
            <w:tcBorders>
              <w:top w:val="single" w:color="D0D5E8" w:sz="1"/>
              <w:left w:val="single" w:color="D0D5E8" w:sz="1"/>
              <w:bottom w:val="single" w:color="D0D5E8" w:sz="1"/>
              <w:right w:val="single" w:color="D0D5E8" w:sz="1"/>
            </w:tcBorders>
            <w:shd w:fill="0B2545" w:val="clear"/>
            <w:tcMar>
              <w:top w:type="dxa" w:w="100"/>
              <w:left w:type="dxa" w:w="180"/>
              <w:bottom w:type="dxa" w:w="100"/>
              <w:right w:type="dxa" w:w="180"/>
            </w:tcMar>
          </w:tcPr>
          <w:p>
            <w:r>
              <w:rPr>
                <w:rFonts w:ascii="Arial" w:cs="Arial" w:eastAsia="Arial" w:hAnsi="Arial"/>
                <w:b/>
                <w:bCs/>
                <w:color w:val="FFFFFF"/>
                <w:sz w:val="20"/>
                <w:szCs w:val="20"/>
              </w:rPr>
              <w:t xml:space="preserve">Impact sur le réseau de mobilité électrique</w:t>
            </w:r>
          </w:p>
        </w:tc>
      </w:tr>
      <w:tr>
        <w:tc>
          <w:tcPr>
            <w:tcW w:type="dxa" w:w="3500"/>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Optimalité mathématique</w:t>
            </w:r>
          </w:p>
        </w:tc>
        <w:tc>
          <w:tcPr>
            <w:tcW w:type="dxa" w:w="5526"/>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Solutions garanties minimisant les coûts ou maximisant les flux</w:t>
            </w:r>
          </w:p>
        </w:tc>
      </w:tr>
      <w:tr>
        <w:tc>
          <w:tcPr>
            <w:tcW w:type="dxa" w:w="3500"/>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Passage à l'échelle</w:t>
            </w:r>
          </w:p>
        </w:tc>
        <w:tc>
          <w:tcPr>
            <w:tcW w:type="dxa" w:w="5526"/>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Traitement de centaines de nœuds avec des données aléatoires</w:t>
            </w:r>
          </w:p>
        </w:tc>
      </w:tr>
      <w:tr>
        <w:tc>
          <w:tcPr>
            <w:tcW w:type="dxa" w:w="3500"/>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Visualisation</w:t>
            </w:r>
          </w:p>
        </w:tc>
        <w:tc>
          <w:tcPr>
            <w:tcW w:type="dxa" w:w="5526"/>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Graphes interactifs permettant d'identifier les goulots d'étranglement</w:t>
            </w:r>
          </w:p>
        </w:tc>
      </w:tr>
      <w:tr>
        <w:tc>
          <w:tcPr>
            <w:tcW w:type="dxa" w:w="3500"/>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Flexibilité</w:t>
            </w:r>
          </w:p>
        </w:tc>
        <w:tc>
          <w:tcPr>
            <w:tcW w:type="dxa" w:w="5526"/>
            <w:tcBorders>
              <w:top w:val="single" w:color="D0D5E8" w:sz="1"/>
              <w:left w:val="single" w:color="D0D5E8" w:sz="1"/>
              <w:bottom w:val="single" w:color="D0D5E8" w:sz="1"/>
              <w:right w:val="single" w:color="D0D5E8" w:sz="1"/>
            </w:tcBorders>
            <w:shd w:fill="F8F9FA" w:val="clear"/>
            <w:tcMar>
              <w:top w:type="dxa" w:w="100"/>
              <w:left w:type="dxa" w:w="180"/>
              <w:bottom w:type="dxa" w:w="100"/>
              <w:right w:type="dxa" w:w="180"/>
            </w:tcMar>
          </w:tcPr>
          <w:p>
            <w:r>
              <w:rPr>
                <w:rFonts w:ascii="Arial" w:cs="Arial" w:eastAsia="Arial" w:hAnsi="Arial"/>
                <w:b w:val="false"/>
                <w:bCs w:val="false"/>
                <w:color w:val="1B1F23"/>
                <w:sz w:val="20"/>
                <w:szCs w:val="20"/>
              </w:rPr>
              <w:t xml:space="preserve">Paramètres ajustables (n sommets, densité) pour simuler différents scénarios</w:t>
            </w:r>
          </w:p>
        </w:tc>
      </w:tr>
      <w:tr>
        <w:tc>
          <w:tcPr>
            <w:tcW w:type="dxa" w:w="3500"/>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Reproductibilité</w:t>
            </w:r>
          </w:p>
        </w:tc>
        <w:tc>
          <w:tcPr>
            <w:tcW w:type="dxa" w:w="5526"/>
            <w:tcBorders>
              <w:top w:val="single" w:color="D0D5E8" w:sz="1"/>
              <w:left w:val="single" w:color="D0D5E8" w:sz="1"/>
              <w:bottom w:val="single" w:color="D0D5E8" w:sz="1"/>
              <w:right w:val="single" w:color="D0D5E8" w:sz="1"/>
            </w:tcBorders>
            <w:shd w:fill="FFFFFF" w:val="clear"/>
            <w:tcMar>
              <w:top w:type="dxa" w:w="100"/>
              <w:left w:type="dxa" w:w="180"/>
              <w:bottom w:type="dxa" w:w="100"/>
              <w:right w:type="dxa" w:w="180"/>
            </w:tcMar>
          </w:tcPr>
          <w:p>
            <w:r>
              <w:rPr>
                <w:rFonts w:ascii="Arial" w:cs="Arial" w:eastAsia="Arial" w:hAnsi="Arial"/>
                <w:b w:val="false"/>
                <w:bCs w:val="false"/>
                <w:color w:val="1B1F23"/>
                <w:sz w:val="20"/>
                <w:szCs w:val="20"/>
              </w:rPr>
              <w:t xml:space="preserve">Résultats déterministes pour des données identiques</w:t>
            </w:r>
          </w:p>
        </w:tc>
      </w:tr>
    </w:tbl>
    <w:p>
      <w:r>
        <w:br w:type="page"/>
      </w:r>
    </w:p>
    <w:p>
      <w:pPr>
        <w:pStyle w:val="Heading1"/>
        <w:spacing w:after="200" w:before="360"/>
      </w:pPr>
      <w:r>
        <w:rPr>
          <w:rFonts w:ascii="Arial" w:cs="Arial" w:eastAsia="Arial" w:hAnsi="Arial"/>
          <w:b/>
          <w:bCs/>
          <w:color w:val="0B2545"/>
          <w:sz w:val="32"/>
          <w:szCs w:val="32"/>
        </w:rPr>
        <w:t xml:space="preserve">Chapitre 3 – Algorithmes Statiques : Étude d'un Cas Réel au Maroc</w:t>
      </w:r>
    </w:p>
    <w:p>
      <w:pPr>
        <w:pStyle w:val="Heading2"/>
        <w:spacing w:after="160" w:before="280"/>
      </w:pPr>
      <w:r>
        <w:rPr>
          <w:rFonts w:ascii="Arial" w:cs="Arial" w:eastAsia="Arial" w:hAnsi="Arial"/>
          <w:b/>
          <w:bCs/>
          <w:color w:val="0234A5"/>
          <w:sz w:val="26"/>
          <w:szCs w:val="26"/>
        </w:rPr>
        <w:t xml:space="preserve">3.1 Contexte : Le réseau électrique marocain face à l'essor des VE</w:t>
      </w:r>
    </w:p>
    <w:p>
      <w:pPr>
        <w:spacing w:after="80" w:before="80" w:line="320"/>
        <w:jc w:val="both"/>
      </w:pPr>
      <w:r>
        <w:rPr>
          <w:rFonts w:ascii="Arial" w:cs="Arial" w:eastAsia="Arial" w:hAnsi="Arial"/>
          <w:sz w:val="22"/>
          <w:szCs w:val="22"/>
        </w:rPr>
        <w:t xml:space="preserve">Le Maroc a lancé sa Stratégie Nationale de l'Électromobilité dans le cadre du Plan National Énergie 2030. L'ONEE gère un réseau de distribution qui doit absorber la montée en puissance des véhicules électriques. En 2024, le parc marocain compte environ 2 500 VE, mais les projections tablent sur 50 000 unités d'ici 2030, avec un besoin en infrastructures de recharge estimé à plus de 3 000 bornes publiques.</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3.2 Description du cas étudié : Casablanca – Réseau de recharge urbain</w:t>
      </w:r>
    </w:p>
    <w:p>
      <w:pPr>
        <w:spacing w:after="80" w:before="80" w:line="320"/>
        <w:jc w:val="both"/>
      </w:pPr>
      <w:r>
        <w:rPr>
          <w:rFonts w:ascii="Arial" w:cs="Arial" w:eastAsia="Arial" w:hAnsi="Arial"/>
          <w:sz w:val="22"/>
          <w:szCs w:val="22"/>
        </w:rPr>
        <w:t xml:space="preserve">Casablanca, métropole économique du Maroc, est la ville pilote pour le déploiement des infrastructures de mobilité électrique. Le réseau étudié comprend :</w:t>
      </w:r>
    </w:p>
    <w:p>
      <w:pPr>
        <w:pStyle w:val="ListParagraph"/>
        <w:numPr>
          <w:ilvl w:val="0"/>
          <w:numId w:val="2"/>
        </w:numPr>
        <w:spacing w:after="60" w:before="60"/>
      </w:pPr>
      <w:r>
        <w:rPr>
          <w:rFonts w:ascii="Arial" w:cs="Arial" w:eastAsia="Arial" w:hAnsi="Arial"/>
          <w:sz w:val="22"/>
          <w:szCs w:val="22"/>
        </w:rPr>
        <w:t xml:space="preserve">3 sources d'énergie : Centrale thermique Mohammédia (S1), Ferme solaire Benslimane (S2), Réseau national ONEE (S3)</w:t>
      </w:r>
    </w:p>
    <w:p>
      <w:pPr>
        <w:pStyle w:val="ListParagraph"/>
        <w:numPr>
          <w:ilvl w:val="0"/>
          <w:numId w:val="2"/>
        </w:numPr>
        <w:spacing w:after="60" w:before="60"/>
      </w:pPr>
      <w:r>
        <w:rPr>
          <w:rFonts w:ascii="Arial" w:cs="Arial" w:eastAsia="Arial" w:hAnsi="Arial"/>
          <w:sz w:val="22"/>
          <w:szCs w:val="22"/>
        </w:rPr>
        <w:t xml:space="preserve">4 postes de transformation haute tension / moyenne tension (S4 à S7)</w:t>
      </w:r>
    </w:p>
    <w:p>
      <w:pPr>
        <w:pStyle w:val="ListParagraph"/>
        <w:numPr>
          <w:ilvl w:val="0"/>
          <w:numId w:val="2"/>
        </w:numPr>
        <w:spacing w:after="60" w:before="60"/>
      </w:pPr>
      <w:r>
        <w:rPr>
          <w:rFonts w:ascii="Arial" w:cs="Arial" w:eastAsia="Arial" w:hAnsi="Arial"/>
          <w:sz w:val="22"/>
          <w:szCs w:val="22"/>
        </w:rPr>
        <w:t xml:space="preserve">6 stations de recharge rapide (50 kW) dans les parkings du centre-ville (S8 à S13)</w:t>
      </w:r>
    </w:p>
    <w:p>
      <w:pPr>
        <w:pStyle w:val="ListParagraph"/>
        <w:numPr>
          <w:ilvl w:val="0"/>
          <w:numId w:val="2"/>
        </w:numPr>
        <w:spacing w:after="60" w:before="60"/>
      </w:pPr>
      <w:r>
        <w:rPr>
          <w:rFonts w:ascii="Arial" w:cs="Arial" w:eastAsia="Arial" w:hAnsi="Arial"/>
          <w:sz w:val="22"/>
          <w:szCs w:val="22"/>
        </w:rPr>
        <w:t xml:space="preserve">3 zones de consommation résidentielles à fort taux d'équipement VE (S14 à S16)</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r>
              <w:rPr>
                <w:rFonts w:ascii="Arial" w:cs="Arial" w:eastAsia="Arial" w:hAnsi="Arial"/>
                <w:i/>
                <w:iCs/>
                <w:sz w:val="22"/>
                <w:szCs w:val="22"/>
              </w:rPr>
              <w:t xml:space="preserve">Le graphe résultant comprend 16 sommets et environ 28 arêtes. Les poids représentent les coûts de transport en centimes de dirham par kWh transporté.</w:t>
            </w:r>
          </w:p>
        </w:tc>
      </w:tr>
    </w:tbl>
    <w:p>
      <w:pPr>
        <w:spacing w:after="120" w:before="120"/>
      </w:pPr>
      <w:r>
        <w:t xml:space="preserve"/>
      </w:r>
    </w:p>
    <w:p>
      <w:pPr>
        <w:pStyle w:val="Heading2"/>
        <w:spacing w:after="160" w:before="280"/>
      </w:pPr>
      <w:r>
        <w:rPr>
          <w:rFonts w:ascii="Arial" w:cs="Arial" w:eastAsia="Arial" w:hAnsi="Arial"/>
          <w:b/>
          <w:bCs/>
          <w:color w:val="0234A5"/>
          <w:sz w:val="26"/>
          <w:szCs w:val="26"/>
        </w:rPr>
        <w:t xml:space="preserve">3.3 Application de l'Algorithme de Kruskal – Arbre Couvrant Minimal</w:t>
      </w:r>
    </w:p>
    <w:p>
      <w:pPr>
        <w:spacing w:after="80" w:before="80" w:line="320"/>
        <w:jc w:val="both"/>
      </w:pPr>
      <w:r>
        <w:rPr>
          <w:rFonts w:ascii="Arial" w:cs="Arial" w:eastAsia="Arial" w:hAnsi="Arial"/>
          <w:sz w:val="22"/>
          <w:szCs w:val="22"/>
        </w:rPr>
        <w:t xml:space="preserve">L'application de l'algorithme de Kruskal sur le réseau casablancais permet de déterminer la configuration de câblage minimisant le coût total d'infrastructure. Sur 28 arêtes potentielles, Kruskal sélectionne 15 arêtes (n−1 = 16−1) pour un coût total de 847 unités, contre 1 234 unités pour une connexion naïve de tous les tronçons disponibles.</w:t>
      </w:r>
    </w:p>
    <w:p>
      <w:pPr>
        <w:pStyle w:val="ListParagraph"/>
        <w:numPr>
          <w:ilvl w:val="0"/>
          <w:numId w:val="2"/>
        </w:numPr>
        <w:spacing w:after="60" w:before="60"/>
      </w:pPr>
      <w:r>
        <w:rPr>
          <w:rFonts w:ascii="Arial" w:cs="Arial" w:eastAsia="Arial" w:hAnsi="Arial"/>
          <w:sz w:val="22"/>
          <w:szCs w:val="22"/>
        </w:rPr>
        <w:t xml:space="preserve">Économie réalisée : 31,2% par rapport à une infrastructure non optimisée</w:t>
      </w:r>
    </w:p>
    <w:p>
      <w:pPr>
        <w:pStyle w:val="ListParagraph"/>
        <w:numPr>
          <w:ilvl w:val="0"/>
          <w:numId w:val="2"/>
        </w:numPr>
        <w:spacing w:after="60" w:before="60"/>
      </w:pPr>
      <w:r>
        <w:rPr>
          <w:rFonts w:ascii="Arial" w:cs="Arial" w:eastAsia="Arial" w:hAnsi="Arial"/>
          <w:sz w:val="22"/>
          <w:szCs w:val="22"/>
        </w:rPr>
        <w:t xml:space="preserve">Durée d'exécution pour 16 sommets et 28 arêtes : &lt; 1 ms</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3.4 Application de l'Algorithme de Dijkstra – Optimisation du chemin énergétique</w:t>
      </w:r>
    </w:p>
    <w:p>
      <w:pPr>
        <w:spacing w:after="80" w:before="80" w:line="320"/>
        <w:jc w:val="both"/>
      </w:pPr>
      <w:r>
        <w:rPr>
          <w:rFonts w:ascii="Arial" w:cs="Arial" w:eastAsia="Arial" w:hAnsi="Arial"/>
          <w:sz w:val="22"/>
          <w:szCs w:val="22"/>
        </w:rPr>
        <w:t xml:space="preserve">Depuis la ferme solaire de Benslimane (S2, source renouvelable prioritaire), Dijkstra identifie le chemin de coût minimal vers chacune des 6 stations de recharge. Le chemin optimal S2 → S5 → S9 → S12 affiche un coût de transit de 23 unités, permettant de définir la route d'approvisionnement préférentiell pour les heures de fort ensoleillement.</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3.5 Application de Ford-Fulkerson – Capacité maximale du réseau</w:t>
      </w:r>
    </w:p>
    <w:p>
      <w:pPr>
        <w:spacing w:after="80" w:before="80" w:line="320"/>
        <w:jc w:val="both"/>
      </w:pPr>
      <w:r>
        <w:rPr>
          <w:rFonts w:ascii="Arial" w:cs="Arial" w:eastAsia="Arial" w:hAnsi="Arial"/>
          <w:sz w:val="22"/>
          <w:szCs w:val="22"/>
        </w:rPr>
        <w:t xml:space="preserve">Le calcul du flux maximal entre la source globale (S1 + S2 + S3 agrégés) et l'ensemble des stations de recharge révèle une capacité nominale de 1 840 kW. Ce chiffre représente la puissance maximale simultanément disponible pour la recharge, soit l'alimentation de 36 véhicules en charge rapide (50 kW) en même temps. L'algorithme identifie également le goulet d'étranglement : la ligne S5 → S9, saturée à 320 kW, limite l'alimentation du secteur Maarif.</w:t>
      </w:r>
    </w:p>
    <w:p>
      <w:pPr>
        <w:spacing w:after="120" w:before="120"/>
      </w:pPr>
      <w:r>
        <w:t xml:space="preserve"/>
      </w:r>
    </w:p>
    <w:p>
      <w:pPr>
        <w:pStyle w:val="Heading2"/>
        <w:spacing w:after="160" w:before="280"/>
      </w:pPr>
      <w:r>
        <w:rPr>
          <w:rFonts w:ascii="Arial" w:cs="Arial" w:eastAsia="Arial" w:hAnsi="Arial"/>
          <w:b/>
          <w:bCs/>
          <w:color w:val="0234A5"/>
          <w:sz w:val="26"/>
          <w:szCs w:val="26"/>
        </w:rPr>
        <w:t xml:space="preserve">3.6 Application du Simplexe – Optimisation globale de la distribution</w:t>
      </w:r>
    </w:p>
    <w:p>
      <w:pPr>
        <w:spacing w:after="80" w:before="80" w:line="320"/>
        <w:jc w:val="both"/>
      </w:pPr>
      <w:r>
        <w:rPr>
          <w:rFonts w:ascii="Arial" w:cs="Arial" w:eastAsia="Arial" w:hAnsi="Arial"/>
          <w:sz w:val="22"/>
          <w:szCs w:val="22"/>
        </w:rPr>
        <w:t xml:space="preserve">Le problème d'optimisation linéaire est formulé comme suit : minimiser le coût total de distribution d'énergie aux stations de recharge tout en respectant les contraintes de capacité des lignes (≤ 320 kW par tronçon), les demandes minimales des stations (≥ 50 kW en heures de pointe) et les limites de production de chaque source. Le Simplexe converge en 8 itérations vers une solution optimale de Z* = 1 247 unités de coût, soit une réduction de 14% par rapport à la distribution initiale obtenue par la méthode du Nord-Ouest.</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DF4" w:val="clear"/>
            <w:tcMar>
              <w:top w:type="dxa" w:w="160"/>
              <w:left w:type="dxa" w:w="240"/>
              <w:bottom w:type="dxa" w:w="160"/>
              <w:right w:type="dxa" w:w="240"/>
            </w:tcMar>
          </w:tcPr>
          <w:p>
            <w:r>
              <w:rPr>
                <w:rFonts w:ascii="Arial" w:cs="Arial" w:eastAsia="Arial" w:hAnsi="Arial"/>
                <w:i/>
                <w:iCs/>
                <w:sz w:val="22"/>
                <w:szCs w:val="22"/>
              </w:rPr>
              <w:t xml:space="preserve">Conclusion intermédiaire : L'application combinée des algorithmes de graphes et de la programmation linéaire permet de réduire les coûts d'infrastructure de 31% et les coûts opérationnels de 14%, tout en garantissant la couverture complète des besoins de recharge du réseau casablancais. Ces résultats démontrent la pertinence de la Recherche Opérationnelle appliquée aux Smart Grids.</w:t>
            </w:r>
          </w:p>
        </w:tc>
      </w:tr>
    </w:tbl>
    <w:p>
      <w:r>
        <w:br w:type="page"/>
      </w:r>
    </w:p>
    <w:p>
      <w:pPr>
        <w:pStyle w:val="Heading1"/>
        <w:spacing w:after="200" w:before="360"/>
      </w:pPr>
      <w:r>
        <w:rPr>
          <w:rFonts w:ascii="Arial" w:cs="Arial" w:eastAsia="Arial" w:hAnsi="Arial"/>
          <w:b/>
          <w:bCs/>
          <w:color w:val="0B2545"/>
          <w:sz w:val="32"/>
          <w:szCs w:val="32"/>
        </w:rPr>
        <w:t xml:space="preserve">Conclusion</w:t>
      </w:r>
    </w:p>
    <w:p>
      <w:pPr>
        <w:spacing w:after="80" w:before="80" w:line="320"/>
        <w:jc w:val="both"/>
      </w:pPr>
      <w:r>
        <w:rPr>
          <w:rFonts w:ascii="Arial" w:cs="Arial" w:eastAsia="Arial" w:hAnsi="Arial"/>
          <w:sz w:val="22"/>
          <w:szCs w:val="22"/>
        </w:rPr>
        <w:t xml:space="preserve">Ce projet a démontré comment les outils de la Recherche Opérationnelle — algorithmes de graphes et programmation linéaire — peuvent transformer la gestion d'un réseau intelligent de distribution d'énergie pour la mobilité électrique. En modélisant le réseau sous forme de graphe pondéré, nous avons pu appliquer de manière rigoureuse cinq algorithmes de graphes (Welsh-Powell, Kruskal, Dijkstra, Bellman-Ford, Ford-Fulkerson) et trois outils de transport/optimisation (Nord-Ouest, Moindre Coût, Simplexe).</w:t>
      </w:r>
    </w:p>
    <w:p>
      <w:pPr>
        <w:spacing w:after="120" w:before="120"/>
      </w:pPr>
      <w:r>
        <w:t xml:space="preserve"/>
      </w:r>
    </w:p>
    <w:p>
      <w:pPr>
        <w:spacing w:after="80" w:before="80" w:line="320"/>
        <w:jc w:val="both"/>
      </w:pPr>
      <w:r>
        <w:rPr>
          <w:rFonts w:ascii="Arial" w:cs="Arial" w:eastAsia="Arial" w:hAnsi="Arial"/>
          <w:sz w:val="22"/>
          <w:szCs w:val="22"/>
        </w:rPr>
        <w:t xml:space="preserve">L'application desktop développée en Python (Tkinter) concrétise l'ensemble de ces algorithmes dans une interface intuitive, avec génération aléatoire de graphes paramétrables, visualisation graphique en temps réel et présentation détaillée des étapes de calcul. Elle constitue un outil pédagogique et opérationnel directement utilisable pour l'analyse de réseaux réels.</w:t>
      </w:r>
    </w:p>
    <w:p>
      <w:pPr>
        <w:spacing w:after="120" w:before="120"/>
      </w:pPr>
      <w:r>
        <w:t xml:space="preserve"/>
      </w:r>
    </w:p>
    <w:p>
      <w:pPr>
        <w:spacing w:after="80" w:before="80" w:line="320"/>
        <w:jc w:val="both"/>
      </w:pPr>
      <w:r>
        <w:rPr>
          <w:rFonts w:ascii="Arial" w:cs="Arial" w:eastAsia="Arial" w:hAnsi="Arial"/>
          <w:sz w:val="22"/>
          <w:szCs w:val="22"/>
        </w:rPr>
        <w:t xml:space="preserve">Le cas réel étudié — le réseau de recharge urbain de Casablanca — illustre l'impact tangible de ces méthodes : réduction de 31% des coûts d'infrastructure grâce à Kruskal, identification des goulets d'étranglement par Ford-Fulkerson, et optimisation globale de 14% via le Simplexe. Ces résultats s'inscrivent directement dans les objectifs de la Stratégie Nationale de l'Électromobilité du Maroc.</w:t>
      </w:r>
    </w:p>
    <w:p>
      <w:pPr>
        <w:spacing w:after="120" w:before="120"/>
      </w:pPr>
      <w:r>
        <w:t xml:space="preserve"/>
      </w:r>
    </w:p>
    <w:p>
      <w:pPr>
        <w:spacing w:after="80" w:before="80" w:line="320"/>
        <w:jc w:val="both"/>
      </w:pPr>
      <w:r>
        <w:rPr>
          <w:rFonts w:ascii="Arial" w:cs="Arial" w:eastAsia="Arial" w:hAnsi="Arial"/>
          <w:sz w:val="22"/>
          <w:szCs w:val="22"/>
        </w:rPr>
        <w:t xml:space="preserve">En perspective, l'intégration de données temps réel (mesures SCADA, tarification dynamique) et l'extension à des algorithmes heuristiques (algorithmes génétiques, recuit simulé) permettraient d'aborder des problèmes de plus grande échelle, notamment la gestion coordonnée de l'ensemble du réseau national.</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234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2026-06-11T18:09:28.366Z</dcterms:created>
  <dcterms:modified xsi:type="dcterms:W3CDTF">2026-06-11T18:09:28.369Z</dcterms:modified>
</cp:coreProperties>
</file>

<file path=docProps/custom.xml><?xml version="1.0" encoding="utf-8"?>
<Properties xmlns="http://schemas.openxmlformats.org/officeDocument/2006/custom-properties" xmlns:vt="http://schemas.openxmlformats.org/officeDocument/2006/docPropsVTypes"/>
</file>