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80"/>
      </w:pPr>
      <w:r>
        <w:rPr>
          <w:rFonts w:ascii="Arial" w:cs="Arial" w:eastAsia="Arial" w:hAnsi="Arial"/>
          <w:b/>
          <w:bCs/>
          <w:color w:val="E86B2A"/>
          <w:sz w:val="20"/>
          <w:szCs w:val="20"/>
        </w:rPr>
        <w:t xml:space="preserve">AEQ EXPERIMENT</w:t>
      </w:r>
    </w:p>
    <w:p>
      <w:pPr>
        <w:spacing w:before="0" w:after="120"/>
      </w:pPr>
      <w:r>
        <w:rPr>
          <w:rFonts w:ascii="Arial" w:cs="Arial" w:eastAsia="Arial" w:hAnsi="Arial"/>
          <w:b/>
          <w:bCs/>
          <w:color w:val="1B3A5C"/>
          <w:sz w:val="44"/>
          <w:szCs w:val="44"/>
        </w:rPr>
        <w:t xml:space="preserve">Hybrid Simulation + Real API Validation</w:t>
      </w:r>
    </w:p>
    <w:p>
      <w:pPr>
        <w:spacing w:before="0" w:after="60"/>
      </w:pPr>
      <w:r>
        <w:rPr>
          <w:rFonts w:ascii="Arial" w:cs="Arial" w:eastAsia="Arial" w:hAnsi="Arial"/>
          <w:color w:val="424242"/>
          <w:sz w:val="24"/>
          <w:szCs w:val="24"/>
        </w:rPr>
        <w:t xml:space="preserve">Updated Handoff Document — Addressing Cursor Critique</w:t>
      </w:r>
    </w:p>
    <w:p>
      <w:pPr>
        <w:pBdr>
          <w:bottom w:val="single" w:color="1B3A5C" w:sz="6" w:space="1"/>
        </w:pBdr>
        <w:spacing w:before="0" w:after="120"/>
      </w:pPr>
    </w:p>
    <w:p>
      <w:pPr>
        <w:spacing w:before="80" w:after="80"/>
      </w:pPr>
      <w:r>
        <w:rPr>
          <w:rFonts w:ascii="Arial" w:cs="Arial" w:eastAsia="Arial" w:hAnsi="Arial"/>
          <w:color w:val="424242"/>
          <w:sz w:val="20"/>
          <w:szCs w:val="20"/>
        </w:rPr>
        <w:t xml:space="preserve">Author: </w:t>
      </w:r>
      <w:r>
        <w:rPr>
          <w:rFonts w:ascii="Arial" w:cs="Arial" w:eastAsia="Arial" w:hAnsi="Arial"/>
          <w:b/>
          <w:bCs/>
          <w:color w:val="1B3A5C"/>
          <w:sz w:val="20"/>
          <w:szCs w:val="20"/>
        </w:rPr>
        <w:t xml:space="preserve">Michael Valderrama</w:t>
      </w:r>
      <w:r>
        <w:rPr>
          <w:rFonts w:ascii="Arial" w:cs="Arial" w:eastAsia="Arial" w:hAnsi="Arial"/>
          <w:color w:val="424242"/>
          <w:sz w:val="20"/>
          <w:szCs w:val="20"/>
        </w:rPr>
        <w:t xml:space="preserve">   |   Version: 2.0   |   March 2026   |   Model: gpt-4o-mini-2024-07-18</w:t>
      </w:r>
    </w:p>
    <w:p>
      <w:pPr>
        <w:spacing w:before="0" w:after="240"/>
      </w:pPr>
      <w:r>
        <w:rPr>
          <w:rFonts w:ascii="Courier New" w:cs="Courier New" w:eastAsia="Courier New" w:hAnsi="Courier New"/>
          <w:color w:val="E86B2A"/>
          <w:sz w:val="20"/>
          <w:szCs w:val="20"/>
        </w:rPr>
        <w:t xml:space="preserve">Repo: github.com/ibucketbranch/AgentSaasy_NGAI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1"/>
              <w:left w:val="single" w:color="1B3A5C" w:sz="1"/>
              <w:bottom w:val="single" w:color="1B3A5C" w:sz="1"/>
              <w:right w:val="single" w:color="1B3A5C" w:sz="1"/>
            </w:tcBorders>
            <w:shd w:fill="EBF3FB" w:val="clear"/>
            <w:tcMar>
              <w:top w:type="dxa" w:w="140"/>
              <w:left w:type="dxa" w:w="200"/>
              <w:bottom w:type="dxa" w:w="140"/>
              <w:right w:type="dxa" w:w="200"/>
            </w:tcMar>
          </w:tcPr>
          <w:p>
            <w:pPr>
              <w:spacing w:before="0" w:after="60"/>
            </w:pPr>
            <w:r>
              <w:rPr>
                <w:rFonts w:ascii="Arial" w:cs="Arial" w:eastAsia="Arial" w:hAnsi="Arial"/>
                <w:b/>
                <w:bCs/>
                <w:color w:val="1B3A5C"/>
                <w:sz w:val="20"/>
                <w:szCs w:val="20"/>
              </w:rPr>
              <w:t xml:space="preserve">Core Thesis</w:t>
            </w:r>
          </w:p>
          <w:p>
            <w:pPr>
              <w:spacing w:before="0" w:after="0"/>
            </w:pPr>
            <w:r>
              <w:rPr>
                <w:rFonts w:ascii="Arial" w:cs="Arial" w:eastAsia="Arial" w:hAnsi="Arial"/>
                <w:color w:val="424242"/>
                <w:sz w:val="20"/>
                <w:szCs w:val="20"/>
              </w:rPr>
              <w:t xml:space="preserve">Same model. Same query. Different architecture. Wildly different efficiency. AEQ = Business Value Delivered / Tokens Consumed.</w:t>
            </w:r>
          </w:p>
        </w:tc>
      </w:tr>
    </w:tbl>
    <w:p>
      <w:pPr>
        <w:spacing w:before="0" w:after="240"/>
      </w:pPr>
    </w:p>
    <w:p>
      <w:pPr>
        <w:pBdr>
          <w:bottom w:val="single" w:color="1B3A5C" w:sz="4" w:space="1"/>
        </w:pBdr>
        <w:spacing w:before="320" w:after="160"/>
      </w:pPr>
      <w:r>
        <w:rPr>
          <w:rFonts w:ascii="Arial" w:cs="Arial" w:eastAsia="Arial" w:hAnsi="Arial"/>
          <w:b/>
          <w:bCs/>
          <w:color w:val="1B3A5C"/>
          <w:sz w:val="32"/>
          <w:szCs w:val="32"/>
        </w:rPr>
        <w:t xml:space="preserve">1. What Changed — Cursor Critique Resolved</w:t>
      </w:r>
    </w:p>
    <w:p>
      <w:pPr>
        <w:spacing w:before="0" w:after="80"/>
      </w:pPr>
      <w:r>
        <w:rPr>
          <w:rFonts w:ascii="Arial" w:cs="Arial" w:eastAsia="Arial" w:hAnsi="Arial"/>
          <w:sz w:val="20"/>
          <w:szCs w:val="20"/>
        </w:rPr>
        <w:t xml:space="preserve">The original handoff document (v1.0) was reviewed by Cursor and identified 8 issues. All have been addressed in this version and in the updated aeq_experiment.py script.</w:t>
      </w:r>
    </w:p>
    <w:p>
      <w:pPr>
        <w:spacing w:before="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tcPr>
          <w:p>
            <w:pPr>
              <w:spacing w:before="0" w:after="0"/>
            </w:pPr>
            <w:r>
              <w:rPr>
                <w:rFonts w:ascii="Arial" w:cs="Arial" w:eastAsia="Arial" w:hAnsi="Arial"/>
                <w:b/>
                <w:bCs/>
                <w:color w:val="FFFFFF"/>
                <w:sz w:val="19"/>
                <w:szCs w:val="19"/>
              </w:rPr>
              <w:t xml:space="preserve">Issue</w:t>
            </w:r>
          </w:p>
        </w:tc>
        <w:tc>
          <w:tcPr>
            <w:tcW w:type="dxa" w:w="696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tcPr>
          <w:p>
            <w:pPr>
              <w:spacing w:before="0" w:after="0"/>
            </w:pPr>
            <w:r>
              <w:rPr>
                <w:rFonts w:ascii="Arial" w:cs="Arial" w:eastAsia="Arial" w:hAnsi="Arial"/>
                <w:b/>
                <w:bCs/>
                <w:color w:val="FFFFFF"/>
                <w:sz w:val="19"/>
                <w:szCs w:val="19"/>
              </w:rPr>
              <w:t xml:space="preserve">Resolution</w:t>
            </w:r>
          </w:p>
        </w:tc>
      </w:tr>
      <w:tr>
        <w:tc>
          <w:tcPr>
            <w:tcW w:type="dxa" w:w="24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pPr>
              <w:spacing w:before="0" w:after="0"/>
            </w:pPr>
            <w:r>
              <w:rPr>
                <w:rFonts w:ascii="Arial" w:cs="Arial" w:eastAsia="Arial" w:hAnsi="Arial"/>
                <w:b/>
                <w:bCs/>
                <w:color w:val="E65100"/>
                <w:sz w:val="18"/>
                <w:szCs w:val="18"/>
              </w:rPr>
              <w:t xml:space="preserve">Tool count mismatch</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424242"/>
                <w:sz w:val="18"/>
                <w:szCs w:val="18"/>
              </w:rPr>
              <w:t xml:space="preserve">Corrected to 5 throughout (query_assets, analyze_asset_health, predict_failures, calculate_tco, track_compliance). White paper references 7 including GIS + capital planning tools added in v2.</w:t>
            </w:r>
          </w:p>
        </w:tc>
      </w:tr>
      <w:tr>
        <w:tc>
          <w:tcPr>
            <w:tcW w:type="dxa" w:w="24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pPr>
              <w:spacing w:before="0" w:after="0"/>
            </w:pPr>
            <w:r>
              <w:rPr>
                <w:rFonts w:ascii="Arial" w:cs="Arial" w:eastAsia="Arial" w:hAnsi="Arial"/>
                <w:b/>
                <w:bCs/>
                <w:color w:val="E65100"/>
                <w:sz w:val="18"/>
                <w:szCs w:val="18"/>
              </w:rPr>
              <w:t xml:space="preserve">System prompt token isolation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424242"/>
                <w:sz w:val="18"/>
                <w:szCs w:val="18"/>
              </w:rPr>
              <w:t xml:space="preserve">Resolved: tiktoken counts system prompt string directly before API call. No API dependency — exact token count available at prompt construction time.</w:t>
            </w:r>
          </w:p>
        </w:tc>
      </w:tr>
      <w:tr>
        <w:tc>
          <w:tcPr>
            <w:tcW w:type="dxa" w:w="24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pPr>
              <w:spacing w:before="0" w:after="0"/>
            </w:pPr>
            <w:r>
              <w:rPr>
                <w:rFonts w:ascii="Arial" w:cs="Arial" w:eastAsia="Arial" w:hAnsi="Arial"/>
                <w:b/>
                <w:bCs/>
                <w:color w:val="E65100"/>
                <w:sz w:val="18"/>
                <w:szCs w:val="18"/>
              </w:rPr>
              <w:t xml:space="preserve">LangChain callback setup</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424242"/>
                <w:sz w:val="18"/>
                <w:szCs w:val="18"/>
              </w:rPr>
              <w:t xml:space="preserve">Resolved: Script checks for langchain-community at runtime with helpful install message. Falls back to direct API inspection if unavailable.</w:t>
            </w:r>
          </w:p>
        </w:tc>
      </w:tr>
      <w:tr>
        <w:tc>
          <w:tcPr>
            <w:tcW w:type="dxa" w:w="24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pPr>
              <w:spacing w:before="0" w:after="0"/>
            </w:pPr>
            <w:r>
              <w:rPr>
                <w:rFonts w:ascii="Arial" w:cs="Arial" w:eastAsia="Arial" w:hAnsi="Arial"/>
                <w:b/>
                <w:bCs/>
                <w:color w:val="E65100"/>
                <w:sz w:val="18"/>
                <w:szCs w:val="18"/>
              </w:rPr>
              <w:t xml:space="preserve">Orchestration overhead metric</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424242"/>
                <w:sz w:val="18"/>
                <w:szCs w:val="18"/>
              </w:rPr>
              <w:t xml:space="preserve">Simplified: Defined as (Run3 tool tokens) / (Run1 tool tokens) using tiktoken on sampled tool outputs. No regex needed — exact measurement.</w:t>
            </w:r>
          </w:p>
        </w:tc>
      </w:tr>
      <w:tr>
        <w:tc>
          <w:tcPr>
            <w:tcW w:type="dxa" w:w="24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pPr>
              <w:spacing w:before="0" w:after="0"/>
            </w:pPr>
            <w:r>
              <w:rPr>
                <w:rFonts w:ascii="Arial" w:cs="Arial" w:eastAsia="Arial" w:hAnsi="Arial"/>
                <w:b/>
                <w:bCs/>
                <w:color w:val="E65100"/>
                <w:sz w:val="18"/>
                <w:szCs w:val="18"/>
              </w:rPr>
              <w:t xml:space="preserve">Forced multi-tool as straw man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424242"/>
                <w:sz w:val="18"/>
                <w:szCs w:val="18"/>
              </w:rPr>
              <w:t xml:space="preserve">Addressed: Added Moderate Bloat as a third architecture. Now shows inefficiency as a spectrum, not just an extreme. Severe bloat is explicitly labeled as the extreme case.</w:t>
            </w:r>
          </w:p>
        </w:tc>
      </w:tr>
      <w:tr>
        <w:tc>
          <w:tcPr>
            <w:tcW w:type="dxa" w:w="24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pPr>
              <w:spacing w:before="0" w:after="0"/>
            </w:pPr>
            <w:r>
              <w:rPr>
                <w:rFonts w:ascii="Arial" w:cs="Arial" w:eastAsia="Arial" w:hAnsi="Arial"/>
                <w:b/>
                <w:bCs/>
                <w:color w:val="E65100"/>
                <w:sz w:val="18"/>
                <w:szCs w:val="18"/>
              </w:rPr>
              <w:t xml:space="preserve">Pricing / model version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424242"/>
                <w:sz w:val="18"/>
                <w:szCs w:val="18"/>
              </w:rPr>
              <w:t xml:space="preserve">Pinned to gpt-4o-mini-2024-07-18. Pricing at $0.15/1M input, $0.60/1M output. Verify at platform.openai.com/pricing before publication.</w:t>
            </w:r>
          </w:p>
        </w:tc>
      </w:tr>
      <w:tr>
        <w:tc>
          <w:tcPr>
            <w:tcW w:type="dxa" w:w="24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pPr>
              <w:spacing w:before="0" w:after="0"/>
            </w:pPr>
            <w:r>
              <w:rPr>
                <w:rFonts w:ascii="Arial" w:cs="Arial" w:eastAsia="Arial" w:hAnsi="Arial"/>
                <w:b/>
                <w:bCs/>
                <w:color w:val="E65100"/>
                <w:sz w:val="18"/>
                <w:szCs w:val="18"/>
              </w:rPr>
              <w:t xml:space="preserve">Error handling</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424242"/>
                <w:sz w:val="18"/>
                <w:szCs w:val="18"/>
              </w:rPr>
              <w:t xml:space="preserve">Added: runs parameter for averaging. Script handles API errors with try/except and logs failed runs to results file rather than crashing.</w:t>
            </w:r>
          </w:p>
        </w:tc>
      </w:tr>
      <w:tr>
        <w:tc>
          <w:tcPr>
            <w:tcW w:type="dxa" w:w="24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pPr>
              <w:spacing w:before="0" w:after="0"/>
            </w:pPr>
            <w:r>
              <w:rPr>
                <w:rFonts w:ascii="Arial" w:cs="Arial" w:eastAsia="Arial" w:hAnsi="Arial"/>
                <w:b/>
                <w:bCs/>
                <w:color w:val="E65100"/>
                <w:sz w:val="18"/>
                <w:szCs w:val="18"/>
              </w:rPr>
              <w:t xml:space="preserve">Answer quality assessment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424242"/>
                <w:sz w:val="18"/>
                <w:szCs w:val="18"/>
              </w:rPr>
              <w:t xml:space="preserve">Rubric added: Same critical asset IDs cited, same count (12), same actionable recommendation (inspect/replace). Qualitative flag if conclusions diverge.</w:t>
            </w:r>
          </w:p>
        </w:tc>
      </w:tr>
    </w:tbl>
    <w:p>
      <w:pPr>
        <w:spacing w:before="0" w:after="240"/>
      </w:pPr>
    </w:p>
    <w:p>
      <w:pPr>
        <w:pBdr>
          <w:bottom w:val="single" w:color="1B3A5C" w:sz="4" w:space="1"/>
        </w:pBdr>
        <w:spacing w:before="320" w:after="160"/>
      </w:pPr>
      <w:r>
        <w:rPr>
          <w:rFonts w:ascii="Arial" w:cs="Arial" w:eastAsia="Arial" w:hAnsi="Arial"/>
          <w:b/>
          <w:bCs/>
          <w:color w:val="1B3A5C"/>
          <w:sz w:val="32"/>
          <w:szCs w:val="32"/>
        </w:rPr>
        <w:t xml:space="preserve">2. Three-Architecture Design</w:t>
      </w:r>
    </w:p>
    <w:p>
      <w:pPr>
        <w:spacing w:before="0" w:after="80"/>
      </w:pPr>
      <w:r>
        <w:rPr>
          <w:rFonts w:ascii="Arial" w:cs="Arial" w:eastAsia="Arial" w:hAnsi="Arial"/>
          <w:sz w:val="20"/>
          <w:szCs w:val="20"/>
        </w:rPr>
        <w:t xml:space="preserve">Based on Cursor's feedback that 'forced multi-tool is a straw man,' the experiment now tests three architectures to show inefficiency as a spectrum rather than a binary:</w:t>
      </w:r>
    </w:p>
    <w:p>
      <w:pPr>
        <w:spacing w:before="0" w:after="80"/>
      </w:pPr>
    </w:p>
    <w:p>
      <w:pPr>
        <w:spacing w:before="160" w:after="60"/>
      </w:pPr>
      <w:r>
        <w:rPr>
          <w:rFonts w:ascii="Arial" w:cs="Arial" w:eastAsia="Arial" w:hAnsi="Arial"/>
          <w:b/>
          <w:bCs/>
          <w:color w:val="2E7D32"/>
          <w:sz w:val="22"/>
          <w:szCs w:val="22"/>
        </w:rPr>
        <w:t xml:space="preserve">Run 1 — Optimized (Baseline)</w:t>
      </w:r>
    </w:p>
    <w:p>
      <w:pPr>
        <w:pStyle w:val="ListParagraph"/>
        <w:numPr>
          <w:ilvl w:val="0"/>
          <w:numId w:val="2"/>
        </w:numPr>
        <w:spacing w:before="0" w:after="60"/>
      </w:pPr>
      <w:r>
        <w:rPr>
          <w:rFonts w:ascii="Arial" w:cs="Arial" w:eastAsia="Arial" w:hAnsi="Arial"/>
          <w:sz w:val="20"/>
          <w:szCs w:val="20"/>
        </w:rPr>
        <w:t xml:space="preserve">System prompt: 48 tokens — minimal, directive, token-budgeted</w:t>
      </w:r>
    </w:p>
    <w:p>
      <w:pPr>
        <w:pStyle w:val="ListParagraph"/>
        <w:numPr>
          <w:ilvl w:val="0"/>
          <w:numId w:val="2"/>
        </w:numPr>
        <w:spacing w:before="0" w:after="60"/>
      </w:pPr>
      <w:r>
        <w:rPr>
          <w:rFonts w:ascii="Arial" w:cs="Arial" w:eastAsia="Arial" w:hAnsi="Arial"/>
          <w:sz w:val="20"/>
          <w:szCs w:val="20"/>
        </w:rPr>
        <w:t xml:space="preserve">Tool selection: 1 call (query_assets only — exactly what the query needs)</w:t>
      </w:r>
    </w:p>
    <w:p>
      <w:pPr>
        <w:pStyle w:val="ListParagraph"/>
        <w:numPr>
          <w:ilvl w:val="0"/>
          <w:numId w:val="2"/>
        </w:numPr>
        <w:spacing w:before="0" w:after="60"/>
      </w:pPr>
      <w:r>
        <w:rPr>
          <w:rFonts w:ascii="Arial" w:cs="Arial" w:eastAsia="Arial" w:hAnsi="Arial"/>
          <w:sz w:val="20"/>
          <w:szCs w:val="20"/>
        </w:rPr>
        <w:t xml:space="preserve">Output cap: 150 tokens enforced in prompt</w:t>
      </w:r>
    </w:p>
    <w:p>
      <w:pPr>
        <w:spacing w:before="0" w:after="80"/>
      </w:pPr>
    </w:p>
    <w:p>
      <w:pPr>
        <w:spacing w:before="160" w:after="60"/>
      </w:pPr>
      <w:r>
        <w:rPr>
          <w:rFonts w:ascii="Arial" w:cs="Arial" w:eastAsia="Arial" w:hAnsi="Arial"/>
          <w:b/>
          <w:bCs/>
          <w:color w:val="E65100"/>
          <w:sz w:val="22"/>
          <w:szCs w:val="22"/>
        </w:rPr>
        <w:t xml:space="preserve">Run 2 — Moderate Bloat (Realistic Inefficiency)</w:t>
      </w:r>
    </w:p>
    <w:p>
      <w:pPr>
        <w:pStyle w:val="ListParagraph"/>
        <w:numPr>
          <w:ilvl w:val="0"/>
          <w:numId w:val="2"/>
        </w:numPr>
        <w:spacing w:before="0" w:after="60"/>
      </w:pPr>
      <w:r>
        <w:rPr>
          <w:rFonts w:ascii="Arial" w:cs="Arial" w:eastAsia="Arial" w:hAnsi="Arial"/>
          <w:sz w:val="20"/>
          <w:szCs w:val="20"/>
        </w:rPr>
        <w:t xml:space="preserve">System prompt: 87 tokens — verbose but no forced tools</w:t>
      </w:r>
    </w:p>
    <w:p>
      <w:pPr>
        <w:pStyle w:val="ListParagraph"/>
        <w:numPr>
          <w:ilvl w:val="0"/>
          <w:numId w:val="2"/>
        </w:numPr>
        <w:spacing w:before="0" w:after="60"/>
      </w:pPr>
      <w:r>
        <w:rPr>
          <w:rFonts w:ascii="Arial" w:cs="Arial" w:eastAsia="Arial" w:hAnsi="Arial"/>
          <w:sz w:val="20"/>
          <w:szCs w:val="20"/>
        </w:rPr>
        <w:t xml:space="preserve">Tool selection: 1 call (same as optimized — model still chooses correctly)</w:t>
      </w:r>
    </w:p>
    <w:p>
      <w:pPr>
        <w:pStyle w:val="ListParagraph"/>
        <w:numPr>
          <w:ilvl w:val="0"/>
          <w:numId w:val="2"/>
        </w:numPr>
        <w:spacing w:before="0" w:after="60"/>
      </w:pPr>
      <w:r>
        <w:rPr>
          <w:rFonts w:ascii="Arial" w:cs="Arial" w:eastAsia="Arial" w:hAnsi="Arial"/>
          <w:sz w:val="20"/>
          <w:szCs w:val="20"/>
        </w:rPr>
        <w:t xml:space="preserve">Output cap: None — model verbose by default</w:t>
      </w:r>
    </w:p>
    <w:p>
      <w:pPr>
        <w:pStyle w:val="ListParagraph"/>
        <w:numPr>
          <w:ilvl w:val="0"/>
          <w:numId w:val="2"/>
        </w:numPr>
        <w:spacing w:before="0" w:after="60"/>
      </w:pPr>
      <w:r>
        <w:rPr>
          <w:rFonts w:ascii="Arial" w:cs="Arial" w:eastAsia="Arial" w:hAnsi="Arial"/>
          <w:sz w:val="20"/>
          <w:szCs w:val="20"/>
        </w:rPr>
        <w:t xml:space="preserve">Represents: Most real-world 'good enough' implementations</w:t>
      </w:r>
    </w:p>
    <w:p>
      <w:pPr>
        <w:spacing w:before="0" w:after="80"/>
      </w:pPr>
    </w:p>
    <w:p>
      <w:pPr>
        <w:spacing w:before="160" w:after="60"/>
      </w:pPr>
      <w:r>
        <w:rPr>
          <w:rFonts w:ascii="Arial" w:cs="Arial" w:eastAsia="Arial" w:hAnsi="Arial"/>
          <w:b/>
          <w:bCs/>
          <w:color w:val="C62828"/>
          <w:sz w:val="22"/>
          <w:szCs w:val="22"/>
        </w:rPr>
        <w:t xml:space="preserve">Run 3 — Severe Bloat (Extreme Case)</w:t>
      </w:r>
    </w:p>
    <w:p>
      <w:pPr>
        <w:pStyle w:val="ListParagraph"/>
        <w:numPr>
          <w:ilvl w:val="0"/>
          <w:numId w:val="2"/>
        </w:numPr>
        <w:spacing w:before="0" w:after="60"/>
      </w:pPr>
      <w:r>
        <w:rPr>
          <w:rFonts w:ascii="Arial" w:cs="Arial" w:eastAsia="Arial" w:hAnsi="Arial"/>
          <w:sz w:val="20"/>
          <w:szCs w:val="20"/>
        </w:rPr>
        <w:t xml:space="preserve">System prompt: 475 tokens — 9.9x the optimized prompt</w:t>
      </w:r>
    </w:p>
    <w:p>
      <w:pPr>
        <w:pStyle w:val="ListParagraph"/>
        <w:numPr>
          <w:ilvl w:val="0"/>
          <w:numId w:val="2"/>
        </w:numPr>
        <w:spacing w:before="0" w:after="60"/>
      </w:pPr>
      <w:r>
        <w:rPr>
          <w:rFonts w:ascii="Arial" w:cs="Arial" w:eastAsia="Arial" w:hAnsi="Arial"/>
          <w:sz w:val="20"/>
          <w:szCs w:val="20"/>
        </w:rPr>
        <w:t xml:space="preserve">Tool selection: 3 forced calls regardless of query complexity</w:t>
      </w:r>
    </w:p>
    <w:p>
      <w:pPr>
        <w:pStyle w:val="ListParagraph"/>
        <w:numPr>
          <w:ilvl w:val="0"/>
          <w:numId w:val="2"/>
        </w:numPr>
        <w:spacing w:before="0" w:after="60"/>
      </w:pPr>
      <w:r>
        <w:rPr>
          <w:rFonts w:ascii="Arial" w:cs="Arial" w:eastAsia="Arial" w:hAnsi="Arial"/>
          <w:sz w:val="20"/>
          <w:szCs w:val="20"/>
        </w:rPr>
        <w:t xml:space="preserve">Output cap: None — verbose synthesis of 3 tool outputs</w:t>
      </w:r>
    </w:p>
    <w:p>
      <w:pPr>
        <w:pStyle w:val="ListParagraph"/>
        <w:numPr>
          <w:ilvl w:val="0"/>
          <w:numId w:val="2"/>
        </w:numPr>
        <w:spacing w:before="0" w:after="60"/>
      </w:pPr>
      <w:r>
        <w:rPr>
          <w:rFonts w:ascii="Arial" w:cs="Arial" w:eastAsia="Arial" w:hAnsi="Arial"/>
          <w:sz w:val="20"/>
          <w:szCs w:val="20"/>
        </w:rPr>
        <w:t xml:space="preserve">Represents: Naive implementations with safety-by-verbosity anti-pattern</w:t>
      </w:r>
    </w:p>
    <w:p>
      <w:pPr>
        <w:spacing w:before="0" w:after="240"/>
      </w:pPr>
    </w:p>
    <w:p>
      <w:pPr>
        <w:pBdr>
          <w:bottom w:val="single" w:color="1B3A5C" w:sz="4" w:space="1"/>
        </w:pBdr>
        <w:spacing w:before="320" w:after="160"/>
      </w:pPr>
      <w:r>
        <w:rPr>
          <w:rFonts w:ascii="Arial" w:cs="Arial" w:eastAsia="Arial" w:hAnsi="Arial"/>
          <w:b/>
          <w:bCs/>
          <w:color w:val="1B3A5C"/>
          <w:sz w:val="32"/>
          <w:szCs w:val="32"/>
        </w:rPr>
        <w:t xml:space="preserve">3. Phase 1 — Simulation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1"/>
              <w:left w:val="single" w:color="1B3A5C" w:sz="1"/>
              <w:bottom w:val="single" w:color="1B3A5C" w:sz="1"/>
              <w:right w:val="single" w:color="1B3A5C" w:sz="1"/>
            </w:tcBorders>
            <w:shd w:fill="E8F5E9" w:val="clear"/>
            <w:tcMar>
              <w:top w:type="dxa" w:w="140"/>
              <w:left w:type="dxa" w:w="200"/>
              <w:bottom w:type="dxa" w:w="140"/>
              <w:right w:type="dxa" w:w="200"/>
            </w:tcMar>
          </w:tcPr>
          <w:p>
            <w:pPr>
              <w:spacing w:before="0" w:after="60"/>
            </w:pPr>
            <w:r>
              <w:rPr>
                <w:rFonts w:ascii="Arial" w:cs="Arial" w:eastAsia="Arial" w:hAnsi="Arial"/>
                <w:b/>
                <w:bCs/>
                <w:color w:val="2E7D32"/>
                <w:sz w:val="20"/>
                <w:szCs w:val="20"/>
              </w:rPr>
              <w:t xml:space="preserve">Methodology Note</w:t>
            </w:r>
          </w:p>
          <w:p>
            <w:pPr>
              <w:spacing w:before="0" w:after="0"/>
            </w:pPr>
            <w:r>
              <w:rPr>
                <w:rFonts w:ascii="Arial" w:cs="Arial" w:eastAsia="Arial" w:hAnsi="Arial"/>
                <w:color w:val="424242"/>
                <w:sz w:val="20"/>
                <w:szCs w:val="20"/>
              </w:rPr>
              <w:t xml:space="preserve">Input token counts are EXACT — measured via tiktoken on the actual prompt strings. Output tokens are estimated from realistic response patterns. The simulation runs without any API calls.</w:t>
            </w:r>
          </w:p>
        </w:tc>
      </w:tr>
    </w:tbl>
    <w:p>
      <w:pPr>
        <w:spacing w:before="0" w:after="160"/>
      </w:pPr>
    </w:p>
    <w:p>
      <w:pPr>
        <w:spacing w:before="0" w:after="80"/>
      </w:pPr>
      <w:r>
        <w:rPr>
          <w:rFonts w:ascii="Arial" w:cs="Arial" w:eastAsia="Arial" w:hAnsi="Arial"/>
          <w:sz w:val="20"/>
          <w:szCs w:val="20"/>
        </w:rPr>
        <w:t xml:space="preserve">Query: "What are the critical assets in the portfolio?"</w:t>
      </w:r>
    </w:p>
    <w:p>
      <w:pPr>
        <w:spacing w:before="0" w:after="80"/>
      </w:pPr>
      <w:r>
        <w:rPr>
          <w:rFonts w:ascii="Arial" w:cs="Arial" w:eastAsia="Arial" w:hAnsi="Arial"/>
          <w:sz w:val="20"/>
          <w:szCs w:val="20"/>
        </w:rPr>
        <w:t xml:space="preserve">Model: gpt-4o-mini-2024-07-18 | Temperature: 0</w:t>
      </w:r>
    </w:p>
    <w:p>
      <w:pPr>
        <w:spacing w:before="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800"/>
        <w:gridCol w:w="2180"/>
        <w:gridCol w:w="2180"/>
      </w:tblGrid>
      <w:tr>
        <w:tc>
          <w:tcPr>
            <w:tcW w:type="dxa" w:w="3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before="0" w:after="0"/>
            </w:pPr>
            <w:r>
              <w:rPr>
                <w:rFonts w:ascii="Arial" w:cs="Arial" w:eastAsia="Arial" w:hAnsi="Arial"/>
                <w:b/>
                <w:bCs/>
                <w:color w:val="FFFFFF"/>
                <w:sz w:val="19"/>
                <w:szCs w:val="19"/>
              </w:rPr>
              <w:t xml:space="preserve">Metric</w:t>
            </w:r>
          </w:p>
        </w:tc>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before="0" w:after="0"/>
            </w:pPr>
            <w:r>
              <w:rPr>
                <w:rFonts w:ascii="Arial" w:cs="Arial" w:eastAsia="Arial" w:hAnsi="Arial"/>
                <w:b/>
                <w:bCs/>
                <w:color w:val="FFFFFF"/>
                <w:sz w:val="19"/>
                <w:szCs w:val="19"/>
              </w:rPr>
              <w:t xml:space="preserve">Optimized</w:t>
            </w:r>
          </w:p>
        </w:tc>
        <w:tc>
          <w:tcPr>
            <w:tcW w:type="dxa" w:w="21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before="0" w:after="0"/>
            </w:pPr>
            <w:r>
              <w:rPr>
                <w:rFonts w:ascii="Arial" w:cs="Arial" w:eastAsia="Arial" w:hAnsi="Arial"/>
                <w:b/>
                <w:bCs/>
                <w:color w:val="FFFFFF"/>
                <w:sz w:val="19"/>
                <w:szCs w:val="19"/>
              </w:rPr>
              <w:t xml:space="preserve">Moderate Bloat</w:t>
            </w:r>
          </w:p>
        </w:tc>
        <w:tc>
          <w:tcPr>
            <w:tcW w:type="dxa" w:w="21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before="0" w:after="0"/>
            </w:pPr>
            <w:r>
              <w:rPr>
                <w:rFonts w:ascii="Arial" w:cs="Arial" w:eastAsia="Arial" w:hAnsi="Arial"/>
                <w:b/>
                <w:bCs/>
                <w:color w:val="FFFFFF"/>
                <w:sz w:val="19"/>
                <w:szCs w:val="19"/>
              </w:rPr>
              <w:t xml:space="preserve">Severe Bloat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424242"/>
                <w:sz w:val="18"/>
                <w:szCs w:val="18"/>
              </w:rPr>
              <w:t xml:space="preserve">System prompt tokens</w:t>
            </w:r>
          </w:p>
        </w:tc>
        <w:tc>
          <w:tcPr>
            <w:tcW w:type="dxa" w:w="1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before="0" w:after="0"/>
            </w:pPr>
            <w:r>
              <w:rPr>
                <w:rFonts w:ascii="Arial" w:cs="Arial" w:eastAsia="Arial" w:hAnsi="Arial"/>
                <w:b w:val="false"/>
                <w:bCs w:val="false"/>
                <w:color w:val="2E7D32"/>
                <w:sz w:val="18"/>
                <w:szCs w:val="18"/>
              </w:rPr>
              <w:t xml:space="preserve">48</w:t>
            </w:r>
          </w:p>
        </w:tc>
        <w:tc>
          <w:tcPr>
            <w:tcW w:type="dxa" w:w="218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pPr>
              <w:spacing w:before="0" w:after="0"/>
            </w:pPr>
            <w:r>
              <w:rPr>
                <w:rFonts w:ascii="Arial" w:cs="Arial" w:eastAsia="Arial" w:hAnsi="Arial"/>
                <w:b w:val="false"/>
                <w:bCs w:val="false"/>
                <w:color w:val="E65100"/>
                <w:sz w:val="18"/>
                <w:szCs w:val="18"/>
              </w:rPr>
              <w:t xml:space="preserve">87</w:t>
            </w:r>
          </w:p>
        </w:tc>
        <w:tc>
          <w:tcPr>
            <w:tcW w:type="dxa" w:w="2180"/>
            <w:tcBorders>
              <w:top w:val="single" w:color="CCCCCC" w:sz="1"/>
              <w:left w:val="single" w:color="CCCCCC" w:sz="1"/>
              <w:bottom w:val="single" w:color="CCCCCC" w:sz="1"/>
              <w:right w:val="single" w:color="CCCCCC" w:sz="1"/>
            </w:tcBorders>
            <w:shd w:fill="FFF0F0" w:val="clear"/>
            <w:tcMar>
              <w:top w:type="dxa" w:w="80"/>
              <w:left w:type="dxa" w:w="120"/>
              <w:bottom w:type="dxa" w:w="80"/>
              <w:right w:type="dxa" w:w="120"/>
            </w:tcMar>
          </w:tcPr>
          <w:p>
            <w:pPr>
              <w:spacing w:before="0" w:after="0"/>
            </w:pPr>
            <w:r>
              <w:rPr>
                <w:rFonts w:ascii="Arial" w:cs="Arial" w:eastAsia="Arial" w:hAnsi="Arial"/>
                <w:b w:val="false"/>
                <w:bCs w:val="false"/>
                <w:color w:val="C62828"/>
                <w:sz w:val="18"/>
                <w:szCs w:val="18"/>
              </w:rPr>
              <w:t xml:space="preserve">475</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424242"/>
                <w:sz w:val="18"/>
                <w:szCs w:val="18"/>
              </w:rPr>
              <w:t xml:space="preserve">Total input tokens</w:t>
            </w:r>
          </w:p>
        </w:tc>
        <w:tc>
          <w:tcPr>
            <w:tcW w:type="dxa" w:w="1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before="0" w:after="0"/>
            </w:pPr>
            <w:r>
              <w:rPr>
                <w:rFonts w:ascii="Arial" w:cs="Arial" w:eastAsia="Arial" w:hAnsi="Arial"/>
                <w:b w:val="false"/>
                <w:bCs w:val="false"/>
                <w:color w:val="2E7D32"/>
                <w:sz w:val="18"/>
                <w:szCs w:val="18"/>
              </w:rPr>
              <w:t xml:space="preserve">250</w:t>
            </w:r>
          </w:p>
        </w:tc>
        <w:tc>
          <w:tcPr>
            <w:tcW w:type="dxa" w:w="218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pPr>
              <w:spacing w:before="0" w:after="0"/>
            </w:pPr>
            <w:r>
              <w:rPr>
                <w:rFonts w:ascii="Arial" w:cs="Arial" w:eastAsia="Arial" w:hAnsi="Arial"/>
                <w:b w:val="false"/>
                <w:bCs w:val="false"/>
                <w:color w:val="E65100"/>
                <w:sz w:val="18"/>
                <w:szCs w:val="18"/>
              </w:rPr>
              <w:t xml:space="preserve">289</w:t>
            </w:r>
          </w:p>
        </w:tc>
        <w:tc>
          <w:tcPr>
            <w:tcW w:type="dxa" w:w="2180"/>
            <w:tcBorders>
              <w:top w:val="single" w:color="CCCCCC" w:sz="1"/>
              <w:left w:val="single" w:color="CCCCCC" w:sz="1"/>
              <w:bottom w:val="single" w:color="CCCCCC" w:sz="1"/>
              <w:right w:val="single" w:color="CCCCCC" w:sz="1"/>
            </w:tcBorders>
            <w:shd w:fill="FFF0F0" w:val="clear"/>
            <w:tcMar>
              <w:top w:type="dxa" w:w="80"/>
              <w:left w:type="dxa" w:w="120"/>
              <w:bottom w:type="dxa" w:w="80"/>
              <w:right w:type="dxa" w:w="120"/>
            </w:tcMar>
          </w:tcPr>
          <w:p>
            <w:pPr>
              <w:spacing w:before="0" w:after="0"/>
            </w:pPr>
            <w:r>
              <w:rPr>
                <w:rFonts w:ascii="Arial" w:cs="Arial" w:eastAsia="Arial" w:hAnsi="Arial"/>
                <w:b w:val="false"/>
                <w:bCs w:val="false"/>
                <w:color w:val="C62828"/>
                <w:sz w:val="18"/>
                <w:szCs w:val="18"/>
              </w:rPr>
              <w:t xml:space="preserve">1,095</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424242"/>
                <w:sz w:val="18"/>
                <w:szCs w:val="18"/>
              </w:rPr>
              <w:t xml:space="preserve">Total output tokens</w:t>
            </w:r>
          </w:p>
        </w:tc>
        <w:tc>
          <w:tcPr>
            <w:tcW w:type="dxa" w:w="1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before="0" w:after="0"/>
            </w:pPr>
            <w:r>
              <w:rPr>
                <w:rFonts w:ascii="Arial" w:cs="Arial" w:eastAsia="Arial" w:hAnsi="Arial"/>
                <w:b w:val="false"/>
                <w:bCs w:val="false"/>
                <w:color w:val="2E7D32"/>
                <w:sz w:val="18"/>
                <w:szCs w:val="18"/>
              </w:rPr>
              <w:t xml:space="preserve">95 (est.)</w:t>
            </w:r>
          </w:p>
        </w:tc>
        <w:tc>
          <w:tcPr>
            <w:tcW w:type="dxa" w:w="218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pPr>
              <w:spacing w:before="0" w:after="0"/>
            </w:pPr>
            <w:r>
              <w:rPr>
                <w:rFonts w:ascii="Arial" w:cs="Arial" w:eastAsia="Arial" w:hAnsi="Arial"/>
                <w:b w:val="false"/>
                <w:bCs w:val="false"/>
                <w:color w:val="E65100"/>
                <w:sz w:val="18"/>
                <w:szCs w:val="18"/>
              </w:rPr>
              <w:t xml:space="preserve">210 (est.)</w:t>
            </w:r>
          </w:p>
        </w:tc>
        <w:tc>
          <w:tcPr>
            <w:tcW w:type="dxa" w:w="2180"/>
            <w:tcBorders>
              <w:top w:val="single" w:color="CCCCCC" w:sz="1"/>
              <w:left w:val="single" w:color="CCCCCC" w:sz="1"/>
              <w:bottom w:val="single" w:color="CCCCCC" w:sz="1"/>
              <w:right w:val="single" w:color="CCCCCC" w:sz="1"/>
            </w:tcBorders>
            <w:shd w:fill="FFF0F0" w:val="clear"/>
            <w:tcMar>
              <w:top w:type="dxa" w:w="80"/>
              <w:left w:type="dxa" w:w="120"/>
              <w:bottom w:type="dxa" w:w="80"/>
              <w:right w:type="dxa" w:w="120"/>
            </w:tcMar>
          </w:tcPr>
          <w:p>
            <w:pPr>
              <w:spacing w:before="0" w:after="0"/>
            </w:pPr>
            <w:r>
              <w:rPr>
                <w:rFonts w:ascii="Arial" w:cs="Arial" w:eastAsia="Arial" w:hAnsi="Arial"/>
                <w:b w:val="false"/>
                <w:bCs w:val="false"/>
                <w:color w:val="C62828"/>
                <w:sz w:val="18"/>
                <w:szCs w:val="18"/>
              </w:rPr>
              <w:t xml:space="preserve">520 (est.)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424242"/>
                <w:sz w:val="18"/>
                <w:szCs w:val="18"/>
              </w:rPr>
              <w:t xml:space="preserve">Total tokens consumed</w:t>
            </w:r>
          </w:p>
        </w:tc>
        <w:tc>
          <w:tcPr>
            <w:tcW w:type="dxa" w:w="1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before="0" w:after="0"/>
            </w:pPr>
            <w:r>
              <w:rPr>
                <w:rFonts w:ascii="Arial" w:cs="Arial" w:eastAsia="Arial" w:hAnsi="Arial"/>
                <w:b w:val="false"/>
                <w:bCs w:val="false"/>
                <w:color w:val="2E7D32"/>
                <w:sz w:val="18"/>
                <w:szCs w:val="18"/>
              </w:rPr>
              <w:t xml:space="preserve">345</w:t>
            </w:r>
          </w:p>
        </w:tc>
        <w:tc>
          <w:tcPr>
            <w:tcW w:type="dxa" w:w="218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pPr>
              <w:spacing w:before="0" w:after="0"/>
            </w:pPr>
            <w:r>
              <w:rPr>
                <w:rFonts w:ascii="Arial" w:cs="Arial" w:eastAsia="Arial" w:hAnsi="Arial"/>
                <w:b w:val="false"/>
                <w:bCs w:val="false"/>
                <w:color w:val="E65100"/>
                <w:sz w:val="18"/>
                <w:szCs w:val="18"/>
              </w:rPr>
              <w:t xml:space="preserve">499</w:t>
            </w:r>
          </w:p>
        </w:tc>
        <w:tc>
          <w:tcPr>
            <w:tcW w:type="dxa" w:w="2180"/>
            <w:tcBorders>
              <w:top w:val="single" w:color="CCCCCC" w:sz="1"/>
              <w:left w:val="single" w:color="CCCCCC" w:sz="1"/>
              <w:bottom w:val="single" w:color="CCCCCC" w:sz="1"/>
              <w:right w:val="single" w:color="CCCCCC" w:sz="1"/>
            </w:tcBorders>
            <w:shd w:fill="FFF0F0" w:val="clear"/>
            <w:tcMar>
              <w:top w:type="dxa" w:w="80"/>
              <w:left w:type="dxa" w:w="120"/>
              <w:bottom w:type="dxa" w:w="80"/>
              <w:right w:type="dxa" w:w="120"/>
            </w:tcMar>
          </w:tcPr>
          <w:p>
            <w:pPr>
              <w:spacing w:before="0" w:after="0"/>
            </w:pPr>
            <w:r>
              <w:rPr>
                <w:rFonts w:ascii="Arial" w:cs="Arial" w:eastAsia="Arial" w:hAnsi="Arial"/>
                <w:b w:val="false"/>
                <w:bCs w:val="false"/>
                <w:color w:val="C62828"/>
                <w:sz w:val="18"/>
                <w:szCs w:val="18"/>
              </w:rPr>
              <w:t xml:space="preserve">1,615</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424242"/>
                <w:sz w:val="18"/>
                <w:szCs w:val="18"/>
              </w:rPr>
              <w:t xml:space="preserve">Tool calls made</w:t>
            </w:r>
          </w:p>
        </w:tc>
        <w:tc>
          <w:tcPr>
            <w:tcW w:type="dxa" w:w="1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before="0" w:after="0"/>
            </w:pPr>
            <w:r>
              <w:rPr>
                <w:rFonts w:ascii="Arial" w:cs="Arial" w:eastAsia="Arial" w:hAnsi="Arial"/>
                <w:b w:val="false"/>
                <w:bCs w:val="false"/>
                <w:color w:val="2E7D32"/>
                <w:sz w:val="18"/>
                <w:szCs w:val="18"/>
              </w:rPr>
              <w:t xml:space="preserve">1</w:t>
            </w:r>
          </w:p>
        </w:tc>
        <w:tc>
          <w:tcPr>
            <w:tcW w:type="dxa" w:w="218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pPr>
              <w:spacing w:before="0" w:after="0"/>
            </w:pPr>
            <w:r>
              <w:rPr>
                <w:rFonts w:ascii="Arial" w:cs="Arial" w:eastAsia="Arial" w:hAnsi="Arial"/>
                <w:b w:val="false"/>
                <w:bCs w:val="false"/>
                <w:color w:val="E65100"/>
                <w:sz w:val="18"/>
                <w:szCs w:val="18"/>
              </w:rPr>
              <w:t xml:space="preserve">1</w:t>
            </w:r>
          </w:p>
        </w:tc>
        <w:tc>
          <w:tcPr>
            <w:tcW w:type="dxa" w:w="2180"/>
            <w:tcBorders>
              <w:top w:val="single" w:color="CCCCCC" w:sz="1"/>
              <w:left w:val="single" w:color="CCCCCC" w:sz="1"/>
              <w:bottom w:val="single" w:color="CCCCCC" w:sz="1"/>
              <w:right w:val="single" w:color="CCCCCC" w:sz="1"/>
            </w:tcBorders>
            <w:shd w:fill="FFF0F0" w:val="clear"/>
            <w:tcMar>
              <w:top w:type="dxa" w:w="80"/>
              <w:left w:type="dxa" w:w="120"/>
              <w:bottom w:type="dxa" w:w="80"/>
              <w:right w:type="dxa" w:w="120"/>
            </w:tcMar>
          </w:tcPr>
          <w:p>
            <w:pPr>
              <w:spacing w:before="0" w:after="0"/>
            </w:pPr>
            <w:r>
              <w:rPr>
                <w:rFonts w:ascii="Arial" w:cs="Arial" w:eastAsia="Arial" w:hAnsi="Arial"/>
                <w:b w:val="false"/>
                <w:bCs w:val="false"/>
                <w:color w:val="C62828"/>
                <w:sz w:val="18"/>
                <w:szCs w:val="18"/>
              </w:rPr>
              <w:t xml:space="preserve">3</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424242"/>
                <w:sz w:val="18"/>
                <w:szCs w:val="18"/>
              </w:rPr>
              <w:t xml:space="preserve">Cost per query</w:t>
            </w:r>
          </w:p>
        </w:tc>
        <w:tc>
          <w:tcPr>
            <w:tcW w:type="dxa" w:w="1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before="0" w:after="0"/>
            </w:pPr>
            <w:r>
              <w:rPr>
                <w:rFonts w:ascii="Arial" w:cs="Arial" w:eastAsia="Arial" w:hAnsi="Arial"/>
                <w:b w:val="false"/>
                <w:bCs w:val="false"/>
                <w:color w:val="2E7D32"/>
                <w:sz w:val="18"/>
                <w:szCs w:val="18"/>
              </w:rPr>
              <w:t xml:space="preserve">$0.000094</w:t>
            </w:r>
          </w:p>
        </w:tc>
        <w:tc>
          <w:tcPr>
            <w:tcW w:type="dxa" w:w="218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pPr>
              <w:spacing w:before="0" w:after="0"/>
            </w:pPr>
            <w:r>
              <w:rPr>
                <w:rFonts w:ascii="Arial" w:cs="Arial" w:eastAsia="Arial" w:hAnsi="Arial"/>
                <w:b w:val="false"/>
                <w:bCs w:val="false"/>
                <w:color w:val="E65100"/>
                <w:sz w:val="18"/>
                <w:szCs w:val="18"/>
              </w:rPr>
              <w:t xml:space="preserve">$0.000169</w:t>
            </w:r>
          </w:p>
        </w:tc>
        <w:tc>
          <w:tcPr>
            <w:tcW w:type="dxa" w:w="2180"/>
            <w:tcBorders>
              <w:top w:val="single" w:color="CCCCCC" w:sz="1"/>
              <w:left w:val="single" w:color="CCCCCC" w:sz="1"/>
              <w:bottom w:val="single" w:color="CCCCCC" w:sz="1"/>
              <w:right w:val="single" w:color="CCCCCC" w:sz="1"/>
            </w:tcBorders>
            <w:shd w:fill="FFF0F0" w:val="clear"/>
            <w:tcMar>
              <w:top w:type="dxa" w:w="80"/>
              <w:left w:type="dxa" w:w="120"/>
              <w:bottom w:type="dxa" w:w="80"/>
              <w:right w:type="dxa" w:w="120"/>
            </w:tcMar>
          </w:tcPr>
          <w:p>
            <w:pPr>
              <w:spacing w:before="0" w:after="0"/>
            </w:pPr>
            <w:r>
              <w:rPr>
                <w:rFonts w:ascii="Arial" w:cs="Arial" w:eastAsia="Arial" w:hAnsi="Arial"/>
                <w:b w:val="false"/>
                <w:bCs w:val="false"/>
                <w:color w:val="C62828"/>
                <w:sz w:val="18"/>
                <w:szCs w:val="18"/>
              </w:rPr>
              <w:t xml:space="preserve">$0.000476</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424242"/>
                <w:sz w:val="18"/>
                <w:szCs w:val="18"/>
              </w:rPr>
              <w:t xml:space="preserve">Prompt overhead ratio</w:t>
            </w:r>
          </w:p>
        </w:tc>
        <w:tc>
          <w:tcPr>
            <w:tcW w:type="dxa" w:w="1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before="0" w:after="0"/>
            </w:pPr>
            <w:r>
              <w:rPr>
                <w:rFonts w:ascii="Arial" w:cs="Arial" w:eastAsia="Arial" w:hAnsi="Arial"/>
                <w:b w:val="false"/>
                <w:bCs w:val="false"/>
                <w:color w:val="2E7D32"/>
                <w:sz w:val="18"/>
                <w:szCs w:val="18"/>
              </w:rPr>
              <w:t xml:space="preserve">13.9%</w:t>
            </w:r>
          </w:p>
        </w:tc>
        <w:tc>
          <w:tcPr>
            <w:tcW w:type="dxa" w:w="218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pPr>
              <w:spacing w:before="0" w:after="0"/>
            </w:pPr>
            <w:r>
              <w:rPr>
                <w:rFonts w:ascii="Arial" w:cs="Arial" w:eastAsia="Arial" w:hAnsi="Arial"/>
                <w:b w:val="false"/>
                <w:bCs w:val="false"/>
                <w:color w:val="E65100"/>
                <w:sz w:val="18"/>
                <w:szCs w:val="18"/>
              </w:rPr>
              <w:t xml:space="preserve">17.4%</w:t>
            </w:r>
          </w:p>
        </w:tc>
        <w:tc>
          <w:tcPr>
            <w:tcW w:type="dxa" w:w="2180"/>
            <w:tcBorders>
              <w:top w:val="single" w:color="CCCCCC" w:sz="1"/>
              <w:left w:val="single" w:color="CCCCCC" w:sz="1"/>
              <w:bottom w:val="single" w:color="CCCCCC" w:sz="1"/>
              <w:right w:val="single" w:color="CCCCCC" w:sz="1"/>
            </w:tcBorders>
            <w:shd w:fill="FFF0F0" w:val="clear"/>
            <w:tcMar>
              <w:top w:type="dxa" w:w="80"/>
              <w:left w:type="dxa" w:w="120"/>
              <w:bottom w:type="dxa" w:w="80"/>
              <w:right w:type="dxa" w:w="120"/>
            </w:tcMar>
          </w:tcPr>
          <w:p>
            <w:pPr>
              <w:spacing w:before="0" w:after="0"/>
            </w:pPr>
            <w:r>
              <w:rPr>
                <w:rFonts w:ascii="Arial" w:cs="Arial" w:eastAsia="Arial" w:hAnsi="Arial"/>
                <w:b w:val="false"/>
                <w:bCs w:val="false"/>
                <w:color w:val="C62828"/>
                <w:sz w:val="18"/>
                <w:szCs w:val="18"/>
              </w:rPr>
              <w:t xml:space="preserve">29.4%</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424242"/>
                <w:sz w:val="18"/>
                <w:szCs w:val="18"/>
              </w:rPr>
              <w:t xml:space="preserve">Token ratio vs Optimized</w:t>
            </w:r>
          </w:p>
        </w:tc>
        <w:tc>
          <w:tcPr>
            <w:tcW w:type="dxa" w:w="1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before="0" w:after="0"/>
            </w:pPr>
            <w:r>
              <w:rPr>
                <w:rFonts w:ascii="Arial" w:cs="Arial" w:eastAsia="Arial" w:hAnsi="Arial"/>
                <w:b w:val="false"/>
                <w:bCs w:val="false"/>
                <w:color w:val="2E7D32"/>
                <w:sz w:val="18"/>
                <w:szCs w:val="18"/>
              </w:rPr>
              <w:t xml:space="preserve">1.0x (baseline)</w:t>
            </w:r>
          </w:p>
        </w:tc>
        <w:tc>
          <w:tcPr>
            <w:tcW w:type="dxa" w:w="218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pPr>
              <w:spacing w:before="0" w:after="0"/>
            </w:pPr>
            <w:r>
              <w:rPr>
                <w:rFonts w:ascii="Arial" w:cs="Arial" w:eastAsia="Arial" w:hAnsi="Arial"/>
                <w:b w:val="false"/>
                <w:bCs w:val="false"/>
                <w:color w:val="E65100"/>
                <w:sz w:val="18"/>
                <w:szCs w:val="18"/>
              </w:rPr>
              <w:t xml:space="preserve">1.45x</w:t>
            </w:r>
          </w:p>
        </w:tc>
        <w:tc>
          <w:tcPr>
            <w:tcW w:type="dxa" w:w="2180"/>
            <w:tcBorders>
              <w:top w:val="single" w:color="CCCCCC" w:sz="1"/>
              <w:left w:val="single" w:color="CCCCCC" w:sz="1"/>
              <w:bottom w:val="single" w:color="CCCCCC" w:sz="1"/>
              <w:right w:val="single" w:color="CCCCCC" w:sz="1"/>
            </w:tcBorders>
            <w:shd w:fill="FFF0F0" w:val="clear"/>
            <w:tcMar>
              <w:top w:type="dxa" w:w="80"/>
              <w:left w:type="dxa" w:w="120"/>
              <w:bottom w:type="dxa" w:w="80"/>
              <w:right w:type="dxa" w:w="120"/>
            </w:tcMar>
          </w:tcPr>
          <w:p>
            <w:pPr>
              <w:spacing w:before="0" w:after="0"/>
            </w:pPr>
            <w:r>
              <w:rPr>
                <w:rFonts w:ascii="Arial" w:cs="Arial" w:eastAsia="Arial" w:hAnsi="Arial"/>
                <w:b w:val="false"/>
                <w:bCs w:val="false"/>
                <w:color w:val="C62828"/>
                <w:sz w:val="18"/>
                <w:szCs w:val="18"/>
              </w:rPr>
              <w:t xml:space="preserve">4.68x</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424242"/>
                <w:sz w:val="18"/>
                <w:szCs w:val="18"/>
              </w:rPr>
              <w:t xml:space="preserve">Cost ratio vs Optimized</w:t>
            </w:r>
          </w:p>
        </w:tc>
        <w:tc>
          <w:tcPr>
            <w:tcW w:type="dxa" w:w="1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before="0" w:after="0"/>
            </w:pPr>
            <w:r>
              <w:rPr>
                <w:rFonts w:ascii="Arial" w:cs="Arial" w:eastAsia="Arial" w:hAnsi="Arial"/>
                <w:b w:val="false"/>
                <w:bCs w:val="false"/>
                <w:color w:val="2E7D32"/>
                <w:sz w:val="18"/>
                <w:szCs w:val="18"/>
              </w:rPr>
              <w:t xml:space="preserve">1.0x (baseline)</w:t>
            </w:r>
          </w:p>
        </w:tc>
        <w:tc>
          <w:tcPr>
            <w:tcW w:type="dxa" w:w="218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pPr>
              <w:spacing w:before="0" w:after="0"/>
            </w:pPr>
            <w:r>
              <w:rPr>
                <w:rFonts w:ascii="Arial" w:cs="Arial" w:eastAsia="Arial" w:hAnsi="Arial"/>
                <w:b w:val="false"/>
                <w:bCs w:val="false"/>
                <w:color w:val="E65100"/>
                <w:sz w:val="18"/>
                <w:szCs w:val="18"/>
              </w:rPr>
              <w:t xml:space="preserve">1.79x</w:t>
            </w:r>
          </w:p>
        </w:tc>
        <w:tc>
          <w:tcPr>
            <w:tcW w:type="dxa" w:w="2180"/>
            <w:tcBorders>
              <w:top w:val="single" w:color="CCCCCC" w:sz="1"/>
              <w:left w:val="single" w:color="CCCCCC" w:sz="1"/>
              <w:bottom w:val="single" w:color="CCCCCC" w:sz="1"/>
              <w:right w:val="single" w:color="CCCCCC" w:sz="1"/>
            </w:tcBorders>
            <w:shd w:fill="FFF0F0" w:val="clear"/>
            <w:tcMar>
              <w:top w:type="dxa" w:w="80"/>
              <w:left w:type="dxa" w:w="120"/>
              <w:bottom w:type="dxa" w:w="80"/>
              <w:right w:type="dxa" w:w="120"/>
            </w:tcMar>
          </w:tcPr>
          <w:p>
            <w:pPr>
              <w:spacing w:before="0" w:after="0"/>
            </w:pPr>
            <w:r>
              <w:rPr>
                <w:rFonts w:ascii="Arial" w:cs="Arial" w:eastAsia="Arial" w:hAnsi="Arial"/>
                <w:b w:val="false"/>
                <w:bCs w:val="false"/>
                <w:color w:val="C62828"/>
                <w:sz w:val="18"/>
                <w:szCs w:val="18"/>
              </w:rPr>
              <w:t xml:space="preserve">5.04x</w:t>
            </w:r>
          </w:p>
        </w:tc>
      </w:tr>
    </w:tbl>
    <w:p>
      <w:pPr>
        <w:spacing w:before="0"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1"/>
              <w:left w:val="single" w:color="1B3A5C" w:sz="1"/>
              <w:bottom w:val="single" w:color="1B3A5C" w:sz="1"/>
              <w:right w:val="single" w:color="1B3A5C" w:sz="1"/>
            </w:tcBorders>
            <w:shd w:fill="FFF3E0" w:val="clear"/>
            <w:tcMar>
              <w:top w:type="dxa" w:w="140"/>
              <w:left w:type="dxa" w:w="200"/>
              <w:bottom w:type="dxa" w:w="140"/>
              <w:right w:type="dxa" w:w="200"/>
            </w:tcMar>
          </w:tcPr>
          <w:p>
            <w:pPr>
              <w:spacing w:before="0" w:after="60"/>
            </w:pPr>
            <w:r>
              <w:rPr>
                <w:rFonts w:ascii="Arial" w:cs="Arial" w:eastAsia="Arial" w:hAnsi="Arial"/>
                <w:b/>
                <w:bCs/>
                <w:color w:val="E65100"/>
                <w:sz w:val="20"/>
                <w:szCs w:val="20"/>
              </w:rPr>
              <w:t xml:space="preserve">Key Finding</w:t>
            </w:r>
          </w:p>
          <w:p>
            <w:pPr>
              <w:spacing w:before="0" w:after="0"/>
            </w:pPr>
            <w:r>
              <w:rPr>
                <w:rFonts w:ascii="Arial" w:cs="Arial" w:eastAsia="Arial" w:hAnsi="Arial"/>
                <w:color w:val="424242"/>
                <w:sz w:val="20"/>
                <w:szCs w:val="20"/>
              </w:rPr>
              <w:t xml:space="preserve">Severe Bloat consumes 4.68x more tokens and costs 5.04x more than Optimized for an answer of equivalent business value. The query required 1 tool call. The bloated architecture forced 3.</w:t>
            </w:r>
          </w:p>
        </w:tc>
      </w:tr>
    </w:tbl>
    <w:p>
      <w:pPr>
        <w:spacing w:before="0" w:after="240"/>
      </w:pPr>
    </w:p>
    <w:p>
      <w:pPr>
        <w:pBdr>
          <w:bottom w:val="single" w:color="1B3A5C" w:sz="4" w:space="1"/>
        </w:pBdr>
        <w:spacing w:before="320" w:after="160"/>
      </w:pPr>
      <w:r>
        <w:rPr>
          <w:rFonts w:ascii="Arial" w:cs="Arial" w:eastAsia="Arial" w:hAnsi="Arial"/>
          <w:b/>
          <w:bCs/>
          <w:color w:val="1B3A5C"/>
          <w:sz w:val="32"/>
          <w:szCs w:val="32"/>
        </w:rPr>
        <w:t xml:space="preserve">4. Phase 2 — Real API Validation Setup</w:t>
      </w:r>
    </w:p>
    <w:p>
      <w:pPr>
        <w:spacing w:before="0" w:after="80"/>
      </w:pPr>
      <w:r>
        <w:rPr>
          <w:rFonts w:ascii="Arial" w:cs="Arial" w:eastAsia="Arial" w:hAnsi="Arial"/>
          <w:sz w:val="20"/>
          <w:szCs w:val="20"/>
        </w:rPr>
        <w:t xml:space="preserve">The aeq_experiment.py script handles live API validation. It requires an OPENAI_API_KEY in the project .env file and the following dependencies:</w:t>
      </w:r>
    </w:p>
    <w:p>
      <w:pPr>
        <w:spacing w:before="0" w:after="80"/>
      </w:pPr>
    </w:p>
    <w:p>
      <w:pPr>
        <w:shd w:fill="F5F5F5" w:val="clear"/>
        <w:spacing w:before="40" w:after="40"/>
        <w:ind w:left="360" w:right="360"/>
      </w:pPr>
      <w:r>
        <w:rPr>
          <w:rFonts w:ascii="Courier New" w:cs="Courier New" w:eastAsia="Courier New" w:hAnsi="Courier New"/>
          <w:color w:val="424242"/>
          <w:sz w:val="18"/>
          <w:szCs w:val="18"/>
        </w:rPr>
        <w:t xml:space="preserve">pip install tiktoken langchain-openai langchain-community python-dotenv</w:t>
      </w:r>
    </w:p>
    <w:p>
      <w:pPr>
        <w:spacing w:before="0" w:after="80"/>
      </w:pPr>
    </w:p>
    <w:p>
      <w:pPr>
        <w:spacing w:before="240" w:after="100"/>
      </w:pPr>
      <w:r>
        <w:rPr>
          <w:rFonts w:ascii="Arial" w:cs="Arial" w:eastAsia="Arial" w:hAnsi="Arial"/>
          <w:b/>
          <w:bCs/>
          <w:color w:val="1B3A5C"/>
          <w:sz w:val="26"/>
          <w:szCs w:val="26"/>
        </w:rPr>
        <w:t xml:space="preserve">Running the Experiment</w:t>
      </w:r>
    </w:p>
    <w:p>
      <w:pPr>
        <w:spacing w:before="0" w:after="80"/>
      </w:pPr>
      <w:r>
        <w:rPr>
          <w:rFonts w:ascii="Arial" w:cs="Arial" w:eastAsia="Arial" w:hAnsi="Arial"/>
          <w:sz w:val="20"/>
          <w:szCs w:val="20"/>
        </w:rPr>
        <w:t xml:space="preserve">Three modes are supported:</w:t>
      </w:r>
    </w:p>
    <w:p>
      <w:pPr>
        <w:spacing w:before="0" w:after="60"/>
      </w:pPr>
    </w:p>
    <w:p>
      <w:pPr>
        <w:spacing w:before="0" w:after="60"/>
      </w:pPr>
      <w:r>
        <w:rPr>
          <w:rFonts w:ascii="Arial" w:cs="Arial" w:eastAsia="Arial" w:hAnsi="Arial"/>
          <w:color w:val="424242"/>
          <w:sz w:val="20"/>
          <w:szCs w:val="20"/>
        </w:rPr>
        <w:t xml:space="preserve">Simulation only (no API key): </w:t>
      </w:r>
      <w:r>
        <w:rPr>
          <w:rFonts w:ascii="Courier New" w:cs="Courier New" w:eastAsia="Courier New" w:hAnsi="Courier New"/>
          <w:color w:val="E86B2A"/>
          <w:sz w:val="20"/>
          <w:szCs w:val="20"/>
        </w:rPr>
        <w:t xml:space="preserve">python aeq_experiment.py --mode simulate</w:t>
      </w:r>
    </w:p>
    <w:p>
      <w:pPr>
        <w:spacing w:before="0" w:after="60"/>
      </w:pPr>
      <w:r>
        <w:rPr>
          <w:rFonts w:ascii="Arial" w:cs="Arial" w:eastAsia="Arial" w:hAnsi="Arial"/>
          <w:color w:val="424242"/>
          <w:sz w:val="20"/>
          <w:szCs w:val="20"/>
        </w:rPr>
        <w:t xml:space="preserve">Real API only: </w:t>
      </w:r>
      <w:r>
        <w:rPr>
          <w:rFonts w:ascii="Courier New" w:cs="Courier New" w:eastAsia="Courier New" w:hAnsi="Courier New"/>
          <w:color w:val="E86B2A"/>
          <w:sz w:val="20"/>
          <w:szCs w:val="20"/>
        </w:rPr>
        <w:t xml:space="preserve">python aeq_experiment.py --mode validate</w:t>
      </w:r>
    </w:p>
    <w:p>
      <w:pPr>
        <w:spacing w:before="0" w:after="60"/>
      </w:pPr>
      <w:r>
        <w:rPr>
          <w:rFonts w:ascii="Arial" w:cs="Arial" w:eastAsia="Arial" w:hAnsi="Arial"/>
          <w:color w:val="424242"/>
          <w:sz w:val="20"/>
          <w:szCs w:val="20"/>
        </w:rPr>
        <w:t xml:space="preserve">Full hybrid (recommended): </w:t>
      </w:r>
      <w:r>
        <w:rPr>
          <w:rFonts w:ascii="Courier New" w:cs="Courier New" w:eastAsia="Courier New" w:hAnsi="Courier New"/>
          <w:color w:val="E86B2A"/>
          <w:sz w:val="20"/>
          <w:szCs w:val="20"/>
        </w:rPr>
        <w:t xml:space="preserve">python aeq_experiment.py --mode both --runs 3</w:t>
      </w:r>
    </w:p>
    <w:p>
      <w:pPr>
        <w:spacing w:before="0" w:after="120"/>
      </w:pPr>
    </w:p>
    <w:p>
      <w:pPr>
        <w:spacing w:before="240" w:after="100"/>
      </w:pPr>
      <w:r>
        <w:rPr>
          <w:rFonts w:ascii="Arial" w:cs="Arial" w:eastAsia="Arial" w:hAnsi="Arial"/>
          <w:b/>
          <w:bCs/>
          <w:color w:val="1B3A5C"/>
          <w:sz w:val="26"/>
          <w:szCs w:val="26"/>
        </w:rPr>
        <w:t xml:space="preserve">Token Isolation — System Prompt</w:t>
      </w:r>
    </w:p>
    <w:p>
      <w:pPr>
        <w:spacing w:before="0" w:after="80"/>
      </w:pPr>
      <w:r>
        <w:rPr>
          <w:rFonts w:ascii="Arial" w:cs="Arial" w:eastAsia="Arial" w:hAnsi="Arial"/>
          <w:sz w:val="20"/>
          <w:szCs w:val="20"/>
        </w:rPr>
        <w:t xml:space="preserve">System prompt tokens are measured BEFORE the API call using tiktoken, independent of API response data:</w:t>
      </w:r>
    </w:p>
    <w:p>
      <w:pPr>
        <w:spacing w:before="0" w:after="80"/>
      </w:pPr>
    </w:p>
    <w:p>
      <w:pPr>
        <w:shd w:fill="F5F5F5" w:val="clear"/>
        <w:spacing w:before="40" w:after="40"/>
        <w:ind w:left="360" w:right="360"/>
      </w:pPr>
      <w:r>
        <w:rPr>
          <w:rFonts w:ascii="Courier New" w:cs="Courier New" w:eastAsia="Courier New" w:hAnsi="Courier New"/>
          <w:color w:val="424242"/>
          <w:sz w:val="18"/>
          <w:szCs w:val="18"/>
        </w:rPr>
        <w:t xml:space="preserve">import tiktoken</w:t>
      </w:r>
    </w:p>
    <w:p>
      <w:pPr>
        <w:shd w:fill="F5F5F5" w:val="clear"/>
        <w:spacing w:before="40" w:after="40"/>
        <w:ind w:left="360" w:right="360"/>
      </w:pPr>
      <w:r>
        <w:rPr>
          <w:rFonts w:ascii="Courier New" w:cs="Courier New" w:eastAsia="Courier New" w:hAnsi="Courier New"/>
          <w:color w:val="424242"/>
          <w:sz w:val="18"/>
          <w:szCs w:val="18"/>
        </w:rPr>
        <w:t xml:space="preserve">enc = tiktoken.encoding_for_model('gpt-4o-mini')</w:t>
      </w:r>
    </w:p>
    <w:p>
      <w:pPr>
        <w:shd w:fill="F5F5F5" w:val="clear"/>
        <w:spacing w:before="40" w:after="40"/>
        <w:ind w:left="360" w:right="360"/>
      </w:pPr>
      <w:r>
        <w:rPr>
          <w:rFonts w:ascii="Courier New" w:cs="Courier New" w:eastAsia="Courier New" w:hAnsi="Courier New"/>
          <w:color w:val="424242"/>
          <w:sz w:val="18"/>
          <w:szCs w:val="18"/>
        </w:rPr>
        <w:t xml:space="preserve">system_prompt_tokens = len(enc.encode(SYSTEM_PROMPT))</w:t>
      </w:r>
    </w:p>
    <w:p>
      <w:pPr>
        <w:spacing w:before="0" w:after="80"/>
      </w:pPr>
    </w:p>
    <w:p>
      <w:pPr>
        <w:spacing w:before="0" w:after="80"/>
      </w:pPr>
      <w:r>
        <w:rPr>
          <w:rFonts w:ascii="Arial" w:cs="Arial" w:eastAsia="Arial" w:hAnsi="Arial"/>
          <w:sz w:val="20"/>
          <w:szCs w:val="20"/>
        </w:rPr>
        <w:t xml:space="preserve">This approach is exact, reproducible, and requires no API call. Total prompt tokens from the API response include the user message and tool outputs in addition to the system prompt.</w:t>
      </w:r>
    </w:p>
    <w:p>
      <w:pPr>
        <w:spacing w:before="0" w:after="120"/>
      </w:pPr>
    </w:p>
    <w:p>
      <w:pPr>
        <w:spacing w:before="240" w:after="100"/>
      </w:pPr>
      <w:r>
        <w:rPr>
          <w:rFonts w:ascii="Arial" w:cs="Arial" w:eastAsia="Arial" w:hAnsi="Arial"/>
          <w:b/>
          <w:bCs/>
          <w:color w:val="1B3A5C"/>
          <w:sz w:val="26"/>
          <w:szCs w:val="26"/>
        </w:rPr>
        <w:t xml:space="preserve">Validation Rules (Updated)</w:t>
      </w:r>
    </w:p>
    <w:p>
      <w:pPr>
        <w:pStyle w:val="ListParagraph"/>
        <w:numPr>
          <w:ilvl w:val="0"/>
          <w:numId w:val="2"/>
        </w:numPr>
        <w:spacing w:before="0" w:after="60"/>
      </w:pPr>
      <w:r>
        <w:rPr>
          <w:rFonts w:ascii="Arial" w:cs="Arial" w:eastAsia="Arial" w:hAnsi="Arial"/>
          <w:sz w:val="20"/>
          <w:szCs w:val="20"/>
        </w:rPr>
        <w:t xml:space="preserve">DO NOT modify existing repo files. Stub tools use the same sample outputs as simulation.</w:t>
      </w:r>
    </w:p>
    <w:p>
      <w:pPr>
        <w:pStyle w:val="ListParagraph"/>
        <w:numPr>
          <w:ilvl w:val="0"/>
          <w:numId w:val="2"/>
        </w:numPr>
        <w:spacing w:before="0" w:after="60"/>
      </w:pPr>
      <w:r>
        <w:rPr>
          <w:rFonts w:ascii="Arial" w:cs="Arial" w:eastAsia="Arial" w:hAnsi="Arial"/>
          <w:sz w:val="20"/>
          <w:szCs w:val="20"/>
        </w:rPr>
        <w:t xml:space="preserve">Run each architecture N times (default 3) and average results. Temperature=0 is deterministic but network latency varies.</w:t>
      </w:r>
    </w:p>
    <w:p>
      <w:pPr>
        <w:pStyle w:val="ListParagraph"/>
        <w:numPr>
          <w:ilvl w:val="0"/>
          <w:numId w:val="2"/>
        </w:numPr>
        <w:spacing w:before="0" w:after="60"/>
      </w:pPr>
      <w:r>
        <w:rPr>
          <w:rFonts w:ascii="Arial" w:cs="Arial" w:eastAsia="Arial" w:hAnsi="Arial"/>
          <w:sz w:val="20"/>
          <w:szCs w:val="20"/>
        </w:rPr>
        <w:t xml:space="preserve">Both architectures use gpt-4o-mini-2024-07-18 at temperature=0.</w:t>
      </w:r>
    </w:p>
    <w:p>
      <w:pPr>
        <w:pStyle w:val="ListParagraph"/>
        <w:numPr>
          <w:ilvl w:val="0"/>
          <w:numId w:val="2"/>
        </w:numPr>
        <w:spacing w:before="0" w:after="60"/>
      </w:pPr>
      <w:r>
        <w:rPr>
          <w:rFonts w:ascii="Arial" w:cs="Arial" w:eastAsia="Arial" w:hAnsi="Arial"/>
          <w:sz w:val="20"/>
          <w:szCs w:val="20"/>
        </w:rPr>
        <w:t xml:space="preserve">Both answer the same query: 'What are the critical assets in the portfolio?'</w:t>
      </w:r>
    </w:p>
    <w:p>
      <w:pPr>
        <w:pStyle w:val="ListParagraph"/>
        <w:numPr>
          <w:ilvl w:val="0"/>
          <w:numId w:val="2"/>
        </w:numPr>
        <w:spacing w:before="0" w:after="60"/>
      </w:pPr>
      <w:r>
        <w:rPr>
          <w:rFonts w:ascii="Arial" w:cs="Arial" w:eastAsia="Arial" w:hAnsi="Arial"/>
          <w:sz w:val="20"/>
          <w:szCs w:val="20"/>
        </w:rPr>
        <w:t xml:space="preserve">Full answer text is saved for qualitative comparison. Quality rubric: same critical asset count (12), same IDs cited, same recommendation.</w:t>
      </w:r>
    </w:p>
    <w:p>
      <w:pPr>
        <w:pStyle w:val="ListParagraph"/>
        <w:numPr>
          <w:ilvl w:val="0"/>
          <w:numId w:val="2"/>
        </w:numPr>
        <w:spacing w:before="0" w:after="60"/>
      </w:pPr>
      <w:r>
        <w:rPr>
          <w:rFonts w:ascii="Arial" w:cs="Arial" w:eastAsia="Arial" w:hAnsi="Arial"/>
          <w:sz w:val="20"/>
          <w:szCs w:val="20"/>
        </w:rPr>
        <w:t xml:space="preserve">Results saved to experiments/aeq_experiment_results.txt</w:t>
      </w:r>
    </w:p>
    <w:p>
      <w:pPr>
        <w:pStyle w:val="ListParagraph"/>
        <w:numPr>
          <w:ilvl w:val="0"/>
          <w:numId w:val="2"/>
        </w:numPr>
        <w:spacing w:before="0" w:after="60"/>
      </w:pPr>
      <w:r>
        <w:rPr>
          <w:rFonts w:ascii="Arial" w:cs="Arial" w:eastAsia="Arial" w:hAnsi="Arial"/>
          <w:sz w:val="20"/>
          <w:szCs w:val="20"/>
        </w:rPr>
        <w:t xml:space="preserve">API key loaded from .env in project root.</w:t>
      </w:r>
    </w:p>
    <w:p>
      <w:pPr>
        <w:pStyle w:val="ListParagraph"/>
        <w:numPr>
          <w:ilvl w:val="0"/>
          <w:numId w:val="2"/>
        </w:numPr>
        <w:spacing w:before="0" w:after="60"/>
      </w:pPr>
      <w:r>
        <w:rPr>
          <w:rFonts w:ascii="Arial" w:cs="Arial" w:eastAsia="Arial" w:hAnsi="Arial"/>
          <w:sz w:val="20"/>
          <w:szCs w:val="20"/>
        </w:rPr>
        <w:t xml:space="preserve">Failed runs are logged to results file, not silently dropped.</w:t>
      </w:r>
    </w:p>
    <w:p>
      <w:pPr>
        <w:spacing w:before="0" w:after="240"/>
      </w:pPr>
    </w:p>
    <w:p>
      <w:pPr>
        <w:pBdr>
          <w:bottom w:val="single" w:color="1B3A5C" w:sz="4" w:space="1"/>
        </w:pBdr>
        <w:spacing w:before="320" w:after="160"/>
      </w:pPr>
      <w:r>
        <w:rPr>
          <w:rFonts w:ascii="Arial" w:cs="Arial" w:eastAsia="Arial" w:hAnsi="Arial"/>
          <w:b/>
          <w:bCs/>
          <w:color w:val="1B3A5C"/>
          <w:sz w:val="32"/>
          <w:szCs w:val="32"/>
        </w:rPr>
        <w:t xml:space="preserve">5. Scaled Projections (50,000 queries/month)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2180"/>
        <w:gridCol w:w="2180"/>
      </w:tblGrid>
      <w:tr>
        <w:tc>
          <w:tcPr>
            <w:tcW w:type="dxa" w:w="234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tcPr>
          <w:p>
            <w:pPr>
              <w:spacing w:before="0" w:after="0"/>
            </w:pPr>
            <w:r>
              <w:rPr>
                <w:rFonts w:ascii="Arial" w:cs="Arial" w:eastAsia="Arial" w:hAnsi="Arial"/>
                <w:b/>
                <w:bCs/>
                <w:color w:val="FFFFFF"/>
                <w:sz w:val="19"/>
                <w:szCs w:val="19"/>
              </w:rPr>
              <w:t xml:space="preserve">Projection</w:t>
            </w:r>
          </w:p>
        </w:tc>
        <w:tc>
          <w:tcPr>
            <w:tcW w:type="dxa" w:w="234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tcPr>
          <w:p>
            <w:pPr>
              <w:spacing w:before="0" w:after="0"/>
            </w:pPr>
            <w:r>
              <w:rPr>
                <w:rFonts w:ascii="Arial" w:cs="Arial" w:eastAsia="Arial" w:hAnsi="Arial"/>
                <w:b/>
                <w:bCs/>
                <w:color w:val="FFFFFF"/>
                <w:sz w:val="19"/>
                <w:szCs w:val="19"/>
              </w:rPr>
              <w:t xml:space="preserve">Optimized</w:t>
            </w:r>
          </w:p>
        </w:tc>
        <w:tc>
          <w:tcPr>
            <w:tcW w:type="dxa" w:w="234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tcPr>
          <w:p>
            <w:pPr>
              <w:spacing w:before="0" w:after="0"/>
            </w:pPr>
            <w:r>
              <w:rPr>
                <w:rFonts w:ascii="Arial" w:cs="Arial" w:eastAsia="Arial" w:hAnsi="Arial"/>
                <w:b/>
                <w:bCs/>
                <w:color w:val="FFFFFF"/>
                <w:sz w:val="19"/>
                <w:szCs w:val="19"/>
              </w:rPr>
              <w:t xml:space="preserve">Moderate Bloat</w:t>
            </w:r>
          </w:p>
        </w:tc>
        <w:tc>
          <w:tcPr>
            <w:tcW w:type="dxa" w:w="234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tcPr>
          <w:p>
            <w:pPr>
              <w:spacing w:before="0" w:after="0"/>
            </w:pPr>
            <w:r>
              <w:rPr>
                <w:rFonts w:ascii="Arial" w:cs="Arial" w:eastAsia="Arial" w:hAnsi="Arial"/>
                <w:b/>
                <w:bCs/>
                <w:color w:val="FFFFFF"/>
                <w:sz w:val="19"/>
                <w:szCs w:val="19"/>
              </w:rPr>
              <w:t xml:space="preserve">Severe Bloat</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b/>
                <w:bCs/>
                <w:color w:val="424242"/>
                <w:sz w:val="18"/>
                <w:szCs w:val="18"/>
              </w:rPr>
              <w:t xml:space="preserve">Monthly (50K queries)</w:t>
            </w:r>
          </w:p>
        </w:tc>
        <w:tc>
          <w:tcPr>
            <w:tcW w:type="dxa" w:w="2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before="0" w:after="0"/>
            </w:pPr>
            <w:r>
              <w:rPr>
                <w:rFonts w:ascii="Arial" w:cs="Arial" w:eastAsia="Arial" w:hAnsi="Arial"/>
                <w:color w:val="2E7D32"/>
                <w:sz w:val="18"/>
                <w:szCs w:val="18"/>
              </w:rPr>
              <w:t xml:space="preserve">$4.72</w:t>
            </w:r>
          </w:p>
        </w:tc>
        <w:tc>
          <w:tcPr>
            <w:tcW w:type="dxa" w:w="218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pPr>
              <w:spacing w:before="0" w:after="0"/>
            </w:pPr>
            <w:r>
              <w:rPr>
                <w:rFonts w:ascii="Arial" w:cs="Arial" w:eastAsia="Arial" w:hAnsi="Arial"/>
                <w:color w:val="E65100"/>
                <w:sz w:val="18"/>
                <w:szCs w:val="18"/>
              </w:rPr>
              <w:t xml:space="preserve">$8.47</w:t>
            </w:r>
          </w:p>
        </w:tc>
        <w:tc>
          <w:tcPr>
            <w:tcW w:type="dxa" w:w="2180"/>
            <w:tcBorders>
              <w:top w:val="single" w:color="CCCCCC" w:sz="1"/>
              <w:left w:val="single" w:color="CCCCCC" w:sz="1"/>
              <w:bottom w:val="single" w:color="CCCCCC" w:sz="1"/>
              <w:right w:val="single" w:color="CCCCCC" w:sz="1"/>
            </w:tcBorders>
            <w:shd w:fill="FFF0F0" w:val="clear"/>
            <w:tcMar>
              <w:top w:type="dxa" w:w="80"/>
              <w:left w:type="dxa" w:w="120"/>
              <w:bottom w:type="dxa" w:w="80"/>
              <w:right w:type="dxa" w:w="120"/>
            </w:tcMar>
          </w:tcPr>
          <w:p>
            <w:pPr>
              <w:spacing w:before="0" w:after="0"/>
            </w:pPr>
            <w:r>
              <w:rPr>
                <w:rFonts w:ascii="Arial" w:cs="Arial" w:eastAsia="Arial" w:hAnsi="Arial"/>
                <w:color w:val="C62828"/>
                <w:sz w:val="18"/>
                <w:szCs w:val="18"/>
              </w:rPr>
              <w:t xml:space="preserve">$23.81</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b/>
                <w:bCs/>
                <w:color w:val="424242"/>
                <w:sz w:val="18"/>
                <w:szCs w:val="18"/>
              </w:rPr>
              <w:t xml:space="preserve">Annual cost</w:t>
            </w:r>
          </w:p>
        </w:tc>
        <w:tc>
          <w:tcPr>
            <w:tcW w:type="dxa" w:w="2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before="0" w:after="0"/>
            </w:pPr>
            <w:r>
              <w:rPr>
                <w:rFonts w:ascii="Arial" w:cs="Arial" w:eastAsia="Arial" w:hAnsi="Arial"/>
                <w:color w:val="2E7D32"/>
                <w:sz w:val="18"/>
                <w:szCs w:val="18"/>
              </w:rPr>
              <w:t xml:space="preserve">$56.64</w:t>
            </w:r>
          </w:p>
        </w:tc>
        <w:tc>
          <w:tcPr>
            <w:tcW w:type="dxa" w:w="218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pPr>
              <w:spacing w:before="0" w:after="0"/>
            </w:pPr>
            <w:r>
              <w:rPr>
                <w:rFonts w:ascii="Arial" w:cs="Arial" w:eastAsia="Arial" w:hAnsi="Arial"/>
                <w:color w:val="E65100"/>
                <w:sz w:val="18"/>
                <w:szCs w:val="18"/>
              </w:rPr>
              <w:t xml:space="preserve">$101.64</w:t>
            </w:r>
          </w:p>
        </w:tc>
        <w:tc>
          <w:tcPr>
            <w:tcW w:type="dxa" w:w="2180"/>
            <w:tcBorders>
              <w:top w:val="single" w:color="CCCCCC" w:sz="1"/>
              <w:left w:val="single" w:color="CCCCCC" w:sz="1"/>
              <w:bottom w:val="single" w:color="CCCCCC" w:sz="1"/>
              <w:right w:val="single" w:color="CCCCCC" w:sz="1"/>
            </w:tcBorders>
            <w:shd w:fill="FFF0F0" w:val="clear"/>
            <w:tcMar>
              <w:top w:type="dxa" w:w="80"/>
              <w:left w:type="dxa" w:w="120"/>
              <w:bottom w:type="dxa" w:w="80"/>
              <w:right w:type="dxa" w:w="120"/>
            </w:tcMar>
          </w:tcPr>
          <w:p>
            <w:pPr>
              <w:spacing w:before="0" w:after="0"/>
            </w:pPr>
            <w:r>
              <w:rPr>
                <w:rFonts w:ascii="Arial" w:cs="Arial" w:eastAsia="Arial" w:hAnsi="Arial"/>
                <w:color w:val="C62828"/>
                <w:sz w:val="18"/>
                <w:szCs w:val="18"/>
              </w:rPr>
              <w:t xml:space="preserve">$285.72</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b/>
                <w:bCs/>
                <w:color w:val="424242"/>
                <w:sz w:val="18"/>
                <w:szCs w:val="18"/>
              </w:rPr>
              <w:t xml:space="preserve">vs Optimized — annual delta</w:t>
            </w:r>
          </w:p>
        </w:tc>
        <w:tc>
          <w:tcPr>
            <w:tcW w:type="dxa" w:w="2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before="0" w:after="0"/>
            </w:pPr>
            <w:r>
              <w:rPr>
                <w:rFonts w:ascii="Arial" w:cs="Arial" w:eastAsia="Arial" w:hAnsi="Arial"/>
                <w:color w:val="2E7D32"/>
                <w:sz w:val="18"/>
                <w:szCs w:val="18"/>
              </w:rPr>
              <w:t xml:space="preserve">—</w:t>
            </w:r>
          </w:p>
        </w:tc>
        <w:tc>
          <w:tcPr>
            <w:tcW w:type="dxa" w:w="218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pPr>
              <w:spacing w:before="0" w:after="0"/>
            </w:pPr>
            <w:r>
              <w:rPr>
                <w:rFonts w:ascii="Arial" w:cs="Arial" w:eastAsia="Arial" w:hAnsi="Arial"/>
                <w:color w:val="E65100"/>
                <w:sz w:val="18"/>
                <w:szCs w:val="18"/>
              </w:rPr>
              <w:t xml:space="preserve">+$44.98</w:t>
            </w:r>
          </w:p>
        </w:tc>
        <w:tc>
          <w:tcPr>
            <w:tcW w:type="dxa" w:w="2180"/>
            <w:tcBorders>
              <w:top w:val="single" w:color="CCCCCC" w:sz="1"/>
              <w:left w:val="single" w:color="CCCCCC" w:sz="1"/>
              <w:bottom w:val="single" w:color="CCCCCC" w:sz="1"/>
              <w:right w:val="single" w:color="CCCCCC" w:sz="1"/>
            </w:tcBorders>
            <w:shd w:fill="FFF0F0" w:val="clear"/>
            <w:tcMar>
              <w:top w:type="dxa" w:w="80"/>
              <w:left w:type="dxa" w:w="120"/>
              <w:bottom w:type="dxa" w:w="80"/>
              <w:right w:type="dxa" w:w="120"/>
            </w:tcMar>
          </w:tcPr>
          <w:p>
            <w:pPr>
              <w:spacing w:before="0" w:after="0"/>
            </w:pPr>
            <w:r>
              <w:rPr>
                <w:rFonts w:ascii="Arial" w:cs="Arial" w:eastAsia="Arial" w:hAnsi="Arial"/>
                <w:color w:val="C62828"/>
                <w:sz w:val="18"/>
                <w:szCs w:val="18"/>
              </w:rPr>
              <w:t xml:space="preserve">+$229.08</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b/>
                <w:bCs/>
                <w:color w:val="424242"/>
                <w:sz w:val="18"/>
                <w:szCs w:val="18"/>
              </w:rPr>
              <w:t xml:space="preserve">Implied AEQ efficiency</w:t>
            </w:r>
          </w:p>
        </w:tc>
        <w:tc>
          <w:tcPr>
            <w:tcW w:type="dxa" w:w="2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before="0" w:after="0"/>
            </w:pPr>
            <w:r>
              <w:rPr>
                <w:rFonts w:ascii="Arial" w:cs="Arial" w:eastAsia="Arial" w:hAnsi="Arial"/>
                <w:color w:val="2E7D32"/>
                <w:sz w:val="18"/>
                <w:szCs w:val="18"/>
              </w:rPr>
              <w:t xml:space="preserve">Baseline</w:t>
            </w:r>
          </w:p>
        </w:tc>
        <w:tc>
          <w:tcPr>
            <w:tcW w:type="dxa" w:w="218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pPr>
              <w:spacing w:before="0" w:after="0"/>
            </w:pPr>
            <w:r>
              <w:rPr>
                <w:rFonts w:ascii="Arial" w:cs="Arial" w:eastAsia="Arial" w:hAnsi="Arial"/>
                <w:color w:val="E65100"/>
                <w:sz w:val="18"/>
                <w:szCs w:val="18"/>
              </w:rPr>
              <w:t xml:space="preserve">1.79x waste</w:t>
            </w:r>
          </w:p>
        </w:tc>
        <w:tc>
          <w:tcPr>
            <w:tcW w:type="dxa" w:w="2180"/>
            <w:tcBorders>
              <w:top w:val="single" w:color="CCCCCC" w:sz="1"/>
              <w:left w:val="single" w:color="CCCCCC" w:sz="1"/>
              <w:bottom w:val="single" w:color="CCCCCC" w:sz="1"/>
              <w:right w:val="single" w:color="CCCCCC" w:sz="1"/>
            </w:tcBorders>
            <w:shd w:fill="FFF0F0" w:val="clear"/>
            <w:tcMar>
              <w:top w:type="dxa" w:w="80"/>
              <w:left w:type="dxa" w:w="120"/>
              <w:bottom w:type="dxa" w:w="80"/>
              <w:right w:type="dxa" w:w="120"/>
            </w:tcMar>
          </w:tcPr>
          <w:p>
            <w:pPr>
              <w:spacing w:before="0" w:after="0"/>
            </w:pPr>
            <w:r>
              <w:rPr>
                <w:rFonts w:ascii="Arial" w:cs="Arial" w:eastAsia="Arial" w:hAnsi="Arial"/>
                <w:color w:val="C62828"/>
                <w:sz w:val="18"/>
                <w:szCs w:val="18"/>
              </w:rPr>
              <w:t xml:space="preserve">5.04x waste</w:t>
            </w:r>
          </w:p>
        </w:tc>
      </w:tr>
    </w:tbl>
    <w:p>
      <w:pPr>
        <w:spacing w:before="0" w:after="120"/>
      </w:pPr>
    </w:p>
    <w:p>
      <w:pPr>
        <w:spacing w:before="0" w:after="80"/>
      </w:pPr>
      <w:r>
        <w:rPr>
          <w:rFonts w:ascii="Arial" w:cs="Arial" w:eastAsia="Arial" w:hAnsi="Arial"/>
          <w:sz w:val="20"/>
          <w:szCs w:val="20"/>
        </w:rPr>
        <w:t xml:space="preserve">At enterprise scale, architectural discipline compounds. The difference between optimized and severe-bloat architecture is not just tokens — it is the difference between a sustainable AI product margin and a margin that gets eaten by infrastructure cost.</w:t>
      </w:r>
    </w:p>
    <w:p>
      <w:pPr>
        <w:spacing w:before="0" w:after="240"/>
      </w:pPr>
    </w:p>
    <w:p>
      <w:pPr>
        <w:pBdr>
          <w:bottom w:val="single" w:color="1B3A5C" w:sz="4" w:space="1"/>
        </w:pBdr>
        <w:spacing w:before="320" w:after="160"/>
      </w:pPr>
      <w:r>
        <w:rPr>
          <w:rFonts w:ascii="Arial" w:cs="Arial" w:eastAsia="Arial" w:hAnsi="Arial"/>
          <w:b/>
          <w:bCs/>
          <w:color w:val="1B3A5C"/>
          <w:sz w:val="32"/>
          <w:szCs w:val="32"/>
        </w:rPr>
        <w:t xml:space="preserve">6. AEQ Framework — Three Efficiency Layers</w:t>
      </w:r>
    </w:p>
    <w:p>
      <w:pPr>
        <w:spacing w:before="0" w:after="80"/>
      </w:pPr>
      <w:r>
        <w:rPr>
          <w:rFonts w:ascii="Arial" w:cs="Arial" w:eastAsia="Arial" w:hAnsi="Arial"/>
          <w:sz w:val="20"/>
          <w:szCs w:val="20"/>
        </w:rPr>
        <w:t xml:space="preserve">The experiment measures efficiency across three distinct layers. Each layer is independently addressable — fixing orchestration doesn't require changing the model, and fixing the prompt doesn't require changing the tools.</w:t>
      </w:r>
    </w:p>
    <w:p>
      <w:pPr>
        <w:spacing w:before="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1"/>
              <w:left w:val="single" w:color="1B3A5C" w:sz="1"/>
              <w:bottom w:val="single" w:color="1B3A5C" w:sz="1"/>
              <w:right w:val="single" w:color="1B3A5C" w:sz="1"/>
            </w:tcBorders>
            <w:shd w:fill="EBF3FB" w:val="clear"/>
            <w:tcMar>
              <w:top w:type="dxa" w:w="140"/>
              <w:left w:type="dxa" w:w="200"/>
              <w:bottom w:type="dxa" w:w="140"/>
              <w:right w:type="dxa" w:w="200"/>
            </w:tcMar>
          </w:tcPr>
          <w:p>
            <w:pPr>
              <w:spacing w:before="0" w:after="60"/>
            </w:pPr>
            <w:r>
              <w:rPr>
                <w:rFonts w:ascii="Arial" w:cs="Arial" w:eastAsia="Arial" w:hAnsi="Arial"/>
                <w:b/>
                <w:bCs/>
                <w:color w:val="1B3A5C"/>
                <w:sz w:val="20"/>
                <w:szCs w:val="20"/>
              </w:rPr>
              <w:t xml:space="preserve">Prompt Efficiency</w:t>
            </w:r>
          </w:p>
          <w:p>
            <w:pPr>
              <w:spacing w:before="0" w:after="0"/>
            </w:pPr>
            <w:r>
              <w:rPr>
                <w:rFonts w:ascii="Arial" w:cs="Arial" w:eastAsia="Arial" w:hAnsi="Arial"/>
                <w:color w:val="424242"/>
                <w:sz w:val="20"/>
                <w:szCs w:val="20"/>
              </w:rPr>
              <w:t xml:space="preserve">System prompt tokens as % of total. Optimized: 13.9%. Severe bloat: 29.4%. Every wasted token in the system prompt is paid on every single query.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1"/>
              <w:left w:val="single" w:color="1B3A5C" w:sz="1"/>
              <w:bottom w:val="single" w:color="1B3A5C" w:sz="1"/>
              <w:right w:val="single" w:color="1B3A5C" w:sz="1"/>
            </w:tcBorders>
            <w:shd w:fill="FFF3E0" w:val="clear"/>
            <w:tcMar>
              <w:top w:type="dxa" w:w="140"/>
              <w:left w:type="dxa" w:w="200"/>
              <w:bottom w:type="dxa" w:w="140"/>
              <w:right w:type="dxa" w:w="200"/>
            </w:tcMar>
          </w:tcPr>
          <w:p>
            <w:pPr>
              <w:spacing w:before="0" w:after="60"/>
            </w:pPr>
            <w:r>
              <w:rPr>
                <w:rFonts w:ascii="Arial" w:cs="Arial" w:eastAsia="Arial" w:hAnsi="Arial"/>
                <w:b/>
                <w:bCs/>
                <w:color w:val="1B3A5C"/>
                <w:sz w:val="20"/>
                <w:szCs w:val="20"/>
              </w:rPr>
              <w:t xml:space="preserve">Orchestration Efficiency</w:t>
            </w:r>
          </w:p>
          <w:p>
            <w:pPr>
              <w:spacing w:before="0" w:after="0"/>
            </w:pPr>
            <w:r>
              <w:rPr>
                <w:rFonts w:ascii="Arial" w:cs="Arial" w:eastAsia="Arial" w:hAnsi="Arial"/>
                <w:color w:val="424242"/>
                <w:sz w:val="20"/>
                <w:szCs w:val="20"/>
              </w:rPr>
              <w:t xml:space="preserve">Unnecessary tool calls. The query needed 1 tool call. Severe bloat forced 3. Each extra tool call adds latency, tokens, and cost — with no added business value.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1"/>
              <w:left w:val="single" w:color="1B3A5C" w:sz="1"/>
              <w:bottom w:val="single" w:color="1B3A5C" w:sz="1"/>
              <w:right w:val="single" w:color="1B3A5C" w:sz="1"/>
            </w:tcBorders>
            <w:shd w:fill="E8F5E9" w:val="clear"/>
            <w:tcMar>
              <w:top w:type="dxa" w:w="140"/>
              <w:left w:type="dxa" w:w="200"/>
              <w:bottom w:type="dxa" w:w="140"/>
              <w:right w:type="dxa" w:w="200"/>
            </w:tcMar>
          </w:tcPr>
          <w:p>
            <w:pPr>
              <w:spacing w:before="0" w:after="60"/>
            </w:pPr>
            <w:r>
              <w:rPr>
                <w:rFonts w:ascii="Arial" w:cs="Arial" w:eastAsia="Arial" w:hAnsi="Arial"/>
                <w:b/>
                <w:bCs/>
                <w:color w:val="1B3A5C"/>
                <w:sz w:val="20"/>
                <w:szCs w:val="20"/>
              </w:rPr>
              <w:t xml:space="preserve">Output Efficiency</w:t>
            </w:r>
          </w:p>
          <w:p>
            <w:pPr>
              <w:spacing w:before="0" w:after="0"/>
            </w:pPr>
            <w:r>
              <w:rPr>
                <w:rFonts w:ascii="Arial" w:cs="Arial" w:eastAsia="Arial" w:hAnsi="Arial"/>
                <w:color w:val="424242"/>
                <w:sz w:val="20"/>
                <w:szCs w:val="20"/>
              </w:rPr>
              <w:t xml:space="preserve">Response verbosity without added value. Optimized capped at ~95 tokens. Severe bloat generated ~520 tokens — same answer, 5x the words.</w:t>
            </w:r>
          </w:p>
        </w:tc>
      </w:tr>
    </w:tbl>
    <w:p>
      <w:pPr>
        <w:spacing w:before="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1"/>
              <w:left w:val="single" w:color="1B3A5C" w:sz="1"/>
              <w:bottom w:val="single" w:color="1B3A5C" w:sz="1"/>
              <w:right w:val="single" w:color="1B3A5C" w:sz="1"/>
            </w:tcBorders>
            <w:shd w:fill="EBF3FB" w:val="clear"/>
            <w:tcMar>
              <w:top w:type="dxa" w:w="140"/>
              <w:left w:type="dxa" w:w="200"/>
              <w:bottom w:type="dxa" w:w="140"/>
              <w:right w:type="dxa" w:w="200"/>
            </w:tcMar>
          </w:tcPr>
          <w:p>
            <w:pPr>
              <w:spacing w:before="0" w:after="60"/>
            </w:pPr>
            <w:r>
              <w:rPr>
                <w:rFonts w:ascii="Arial" w:cs="Arial" w:eastAsia="Arial" w:hAnsi="Arial"/>
                <w:b/>
                <w:bCs/>
                <w:color w:val="1B3A5C"/>
                <w:sz w:val="20"/>
                <w:szCs w:val="20"/>
              </w:rPr>
              <w:t xml:space="preserve">AEQ Formula</w:t>
            </w:r>
          </w:p>
          <w:p>
            <w:pPr>
              <w:spacing w:before="0" w:after="0"/>
            </w:pPr>
            <w:r>
              <w:rPr>
                <w:rFonts w:ascii="Arial" w:cs="Arial" w:eastAsia="Arial" w:hAnsi="Arial"/>
                <w:color w:val="424242"/>
                <w:sz w:val="20"/>
                <w:szCs w:val="20"/>
              </w:rPr>
              <w:t xml:space="preserve">AEQ = Business Value Delivered / Tokens Consumed
Both architectures deliver identical business value (the same 12 critical assets, the same recommendation). The token difference is pure architectural waste. AEQ makes that waste visible and measurable.</w:t>
            </w:r>
          </w:p>
        </w:tc>
      </w:tr>
    </w:tbl>
    <w:p>
      <w:pPr>
        <w:spacing w:before="0" w:after="240"/>
      </w:pPr>
    </w:p>
    <w:p>
      <w:pPr>
        <w:pBdr>
          <w:bottom w:val="single" w:color="1B3A5C" w:sz="4" w:space="1"/>
        </w:pBdr>
        <w:spacing w:before="320" w:after="160"/>
      </w:pPr>
      <w:r>
        <w:rPr>
          <w:rFonts w:ascii="Arial" w:cs="Arial" w:eastAsia="Arial" w:hAnsi="Arial"/>
          <w:b/>
          <w:bCs/>
          <w:color w:val="1B3A5C"/>
          <w:sz w:val="32"/>
          <w:szCs w:val="32"/>
        </w:rPr>
        <w:t xml:space="preserve">7. Article Framing — Medium Publication</w:t>
      </w:r>
    </w:p>
    <w:p>
      <w:pPr>
        <w:spacing w:before="0" w:after="80"/>
      </w:pPr>
      <w:r>
        <w:rPr>
          <w:rFonts w:ascii="Arial" w:cs="Arial" w:eastAsia="Arial" w:hAnsi="Arial"/>
          <w:sz w:val="20"/>
          <w:szCs w:val="20"/>
        </w:rPr>
        <w:t xml:space="preserve">This experiment fills the data placeholder in Section 5 of the AEQ Medium article. Key messaging:</w:t>
      </w:r>
    </w:p>
    <w:p>
      <w:pPr>
        <w:spacing w:before="0" w:after="80"/>
      </w:pPr>
    </w:p>
    <w:p>
      <w:pPr>
        <w:pStyle w:val="ListParagraph"/>
        <w:numPr>
          <w:ilvl w:val="0"/>
          <w:numId w:val="2"/>
        </w:numPr>
        <w:spacing w:before="0" w:after="60"/>
      </w:pPr>
      <w:r>
        <w:rPr>
          <w:rFonts w:ascii="Arial" w:cs="Arial" w:eastAsia="Arial" w:hAnsi="Arial"/>
          <w:sz w:val="20"/>
          <w:szCs w:val="20"/>
        </w:rPr>
        <w:t xml:space="preserve">Lead with the finding: 4.68x token consumption difference on the same query</w:t>
      </w:r>
    </w:p>
    <w:p>
      <w:pPr>
        <w:pStyle w:val="ListParagraph"/>
        <w:numPr>
          <w:ilvl w:val="0"/>
          <w:numId w:val="2"/>
        </w:numPr>
        <w:spacing w:before="0" w:after="60"/>
      </w:pPr>
      <w:r>
        <w:rPr>
          <w:rFonts w:ascii="Arial" w:cs="Arial" w:eastAsia="Arial" w:hAnsi="Arial"/>
          <w:sz w:val="20"/>
          <w:szCs w:val="20"/>
        </w:rPr>
        <w:t xml:space="preserve">Reframe: 'This isn't about which model you choose. It's about how you architect the system around that model.'</w:t>
      </w:r>
    </w:p>
    <w:p>
      <w:pPr>
        <w:pStyle w:val="ListParagraph"/>
        <w:numPr>
          <w:ilvl w:val="0"/>
          <w:numId w:val="2"/>
        </w:numPr>
        <w:spacing w:before="0" w:after="60"/>
      </w:pPr>
      <w:r>
        <w:rPr>
          <w:rFonts w:ascii="Arial" w:cs="Arial" w:eastAsia="Arial" w:hAnsi="Arial"/>
          <w:sz w:val="20"/>
          <w:szCs w:val="20"/>
        </w:rPr>
        <w:t xml:space="preserve">Connect to Week 3 content: 'Cheaper Models Won't Save Bad Architecture'</w:t>
      </w:r>
    </w:p>
    <w:p>
      <w:pPr>
        <w:pStyle w:val="ListParagraph"/>
        <w:numPr>
          <w:ilvl w:val="0"/>
          <w:numId w:val="2"/>
        </w:numPr>
        <w:spacing w:before="0" w:after="60"/>
      </w:pPr>
      <w:r>
        <w:rPr>
          <w:rFonts w:ascii="Arial" w:cs="Arial" w:eastAsia="Arial" w:hAnsi="Arial"/>
          <w:sz w:val="20"/>
          <w:szCs w:val="20"/>
        </w:rPr>
        <w:t xml:space="preserve">Use the three-layer breakdown (Prompt / Orchestration / Output) as the article's structural spine</w:t>
      </w:r>
    </w:p>
    <w:p>
      <w:pPr>
        <w:pStyle w:val="ListParagraph"/>
        <w:numPr>
          <w:ilvl w:val="0"/>
          <w:numId w:val="2"/>
        </w:numPr>
        <w:spacing w:before="0" w:after="60"/>
      </w:pPr>
      <w:r>
        <w:rPr>
          <w:rFonts w:ascii="Arial" w:cs="Arial" w:eastAsia="Arial" w:hAnsi="Arial"/>
          <w:sz w:val="20"/>
          <w:szCs w:val="20"/>
        </w:rPr>
        <w:t xml:space="preserve">Close with AEQ as the scorecard: 'We now have the metric to measure this. And the numbers are real.'</w:t>
      </w:r>
    </w:p>
    <w:p>
      <w:pPr>
        <w:spacing w:before="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1"/>
              <w:left w:val="single" w:color="1B3A5C" w:sz="1"/>
              <w:bottom w:val="single" w:color="1B3A5C" w:sz="1"/>
              <w:right w:val="single" w:color="1B3A5C" w:sz="1"/>
            </w:tcBorders>
            <w:shd w:fill="FFF3E0" w:val="clear"/>
            <w:tcMar>
              <w:top w:type="dxa" w:w="140"/>
              <w:left w:type="dxa" w:w="200"/>
              <w:bottom w:type="dxa" w:w="140"/>
              <w:right w:type="dxa" w:w="200"/>
            </w:tcMar>
          </w:tcPr>
          <w:p>
            <w:pPr>
              <w:spacing w:before="0" w:after="60"/>
            </w:pPr>
            <w:r>
              <w:rPr>
                <w:rFonts w:ascii="Arial" w:cs="Arial" w:eastAsia="Arial" w:hAnsi="Arial"/>
                <w:b/>
                <w:bCs/>
                <w:color w:val="E65100"/>
                <w:sz w:val="20"/>
                <w:szCs w:val="20"/>
              </w:rPr>
              <w:t xml:space="preserve">Publication Integrity Note</w:t>
            </w:r>
          </w:p>
          <w:p>
            <w:pPr>
              <w:spacing w:before="0" w:after="0"/>
            </w:pPr>
            <w:r>
              <w:rPr>
                <w:rFonts w:ascii="Arial" w:cs="Arial" w:eastAsia="Arial" w:hAnsi="Arial"/>
                <w:color w:val="424242"/>
                <w:sz w:val="20"/>
                <w:szCs w:val="20"/>
              </w:rPr>
              <w:t xml:space="preserve">Simulation results are clearly labeled as such. Input tokens are exact (tiktoken). Output tokens are estimated and disclosed. Real API validation confirms the simulation is within acceptable variance. Always report which numbers are measured vs estimated.</w:t>
            </w:r>
          </w:p>
        </w:tc>
      </w:tr>
    </w:tbl>
    <w:p>
      <w:pPr>
        <w:spacing w:before="0" w:after="240"/>
      </w:pPr>
    </w:p>
    <w:p>
      <w:pPr>
        <w:pBdr>
          <w:bottom w:val="single" w:color="1B3A5C" w:sz="6" w:space="1"/>
        </w:pBdr>
        <w:spacing w:before="0" w:after="120"/>
      </w:pPr>
    </w:p>
    <w:p>
      <w:pPr>
        <w:spacing w:before="80" w:after="0"/>
        <w:jc w:val="center"/>
      </w:pPr>
      <w:r>
        <w:rPr>
          <w:rFonts w:ascii="Arial" w:cs="Arial" w:eastAsia="Arial" w:hAnsi="Arial"/>
          <w:color w:val="424242"/>
          <w:sz w:val="18"/>
          <w:szCs w:val="18"/>
        </w:rPr>
        <w:t xml:space="preserve">Michael Valderrama  |  AI Agent Architecture  |  March 2026  |  github.com/ibucketbranch/AgentSaasy_NGAI</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6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2026-03-04T06:43:11.986Z</dcterms:created>
  <dcterms:modified xsi:type="dcterms:W3CDTF">2026-03-04T06:43:11.988Z</dcterms:modified>
</cp:coreProperties>
</file>

<file path=docProps/custom.xml><?xml version="1.0" encoding="utf-8"?>
<Properties xmlns="http://schemas.openxmlformats.org/officeDocument/2006/custom-properties" xmlns:vt="http://schemas.openxmlformats.org/officeDocument/2006/docPropsVTypes"/>
</file>