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E8672A"/>
                <w:sz w:val="18"/>
                <w:szCs w:val="18"/>
              </w:rPr>
              <w:t xml:space="preserve">AEQ EXPERIMENT RESULTS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Agent Efficiency Quotient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A8C4DC"/>
                <w:sz w:val="19"/>
                <w:szCs w:val="19"/>
              </w:rPr>
              <w:t xml:space="preserve">Architecture comparison — Real API data, gpt-4o-mini, 3 runs averaged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AgentSaasy_NGAI</w:t>
            </w:r>
          </w:p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FFFFFF"/>
                <w:sz w:val="17"/>
                <w:szCs w:val="17"/>
              </w:rPr>
              <w:t xml:space="preserve">Enterprise Asset</w:t>
            </w:r>
          </w:p>
          <w:p>
            <w:pPr>
              <w:spacing w:before="0" w:after="8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FFFFFF"/>
                <w:sz w:val="17"/>
                <w:szCs w:val="17"/>
              </w:rPr>
              <w:t xml:space="preserve">Management AI Agent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FFD4B0"/>
                <w:sz w:val="17"/>
                <w:szCs w:val="17"/>
              </w:rPr>
              <w:t xml:space="preserve">March 2026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E8672A"/>
          <w:sz w:val="20"/>
          <w:szCs w:val="20"/>
        </w:rPr>
        <w:t xml:space="preserve">WHAT WE TESTED</w:t>
      </w:r>
    </w:p>
    <w:p>
      <w:pPr>
        <w:spacing w:before="0" w:after="12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Same query. Same model. Three prompt architectures.</w:t>
      </w:r>
    </w:p>
    <w:p>
      <w:pPr>
        <w:pBdr>
          <w:bottom w:val="single" w:color="E8672A" w:sz="4" w:space="1"/>
        </w:pBdr>
        <w:spacing w:before="0" w:after="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22"/>
                <w:szCs w:val="22"/>
              </w:rPr>
              <w:t xml:space="preserve">Optimized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9"/>
                <w:szCs w:val="19"/>
              </w:rPr>
              <w:t xml:space="preserve">48 tokens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Minimal, directive, output-capped at 150 tokens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22"/>
                <w:szCs w:val="22"/>
              </w:rPr>
              <w:t xml:space="preserve">Tutorial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122 tokens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Common doc pattern, full tool list, no output constraint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22"/>
                <w:szCs w:val="22"/>
              </w:rPr>
              <w:t xml:space="preserve">Enterprise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271 tokens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Governance boilerplate, safety language, 'comprehensive analysis'</w:t>
            </w:r>
          </w:p>
        </w:tc>
      </w:tr>
    </w:tbl>
    <w:p>
      <w:pPr>
        <w:spacing w:before="0" w:after="120"/>
      </w:pPr>
    </w:p>
    <w:p>
      <w:pPr>
        <w:spacing w:before="0" w:after="240"/>
      </w:pPr>
      <w:r>
        <w:rPr>
          <w:rFonts w:ascii="Georgia" w:cs="Georgia" w:eastAsia="Georgia" w:hAnsi="Georgia"/>
          <w:b/>
          <w:bCs/>
          <w:color w:val="0D2137"/>
          <w:sz w:val="19"/>
          <w:szCs w:val="19"/>
        </w:rPr>
        <w:t xml:space="preserve">Query: </w:t>
      </w:r>
      <w:r>
        <w:rPr>
          <w:rFonts w:ascii="Georgia" w:cs="Georgia" w:eastAsia="Georgia" w:hAnsi="Georgia"/>
          <w:b w:val="false"/>
          <w:bCs w:val="false"/>
          <w:color w:val="374151"/>
          <w:sz w:val="19"/>
          <w:szCs w:val="19"/>
        </w:rPr>
        <w:t xml:space="preserve">"What are the critical assets in the portfolio?"</w:t>
      </w:r>
      <w:r>
        <w:rPr>
          <w:rFonts w:ascii="Georgia" w:cs="Georgia" w:eastAsia="Georgia" w:hAnsi="Georgia"/>
          <w:b w:val="false"/>
          <w:bCs w:val="false"/>
          <w:color w:val="D0D5DD"/>
          <w:sz w:val="19"/>
          <w:szCs w:val="19"/>
        </w:rPr>
        <w:t xml:space="preserve">   |   </w:t>
      </w:r>
      <w:r>
        <w:rPr>
          <w:rFonts w:ascii="Georgia" w:cs="Georgia" w:eastAsia="Georgia" w:hAnsi="Georgia"/>
          <w:b/>
          <w:bCs/>
          <w:color w:val="0D2137"/>
          <w:sz w:val="19"/>
          <w:szCs w:val="19"/>
        </w:rPr>
        <w:t xml:space="preserve">Model: </w:t>
      </w:r>
      <w:r>
        <w:rPr>
          <w:rFonts w:ascii="Georgia" w:cs="Georgia" w:eastAsia="Georgia" w:hAnsi="Georgia"/>
          <w:b w:val="false"/>
          <w:bCs w:val="false"/>
          <w:color w:val="374151"/>
          <w:sz w:val="19"/>
          <w:szCs w:val="19"/>
        </w:rPr>
        <w:t xml:space="preserve">gpt-4o-mini, temperature=0</w:t>
      </w:r>
      <w:r>
        <w:rPr>
          <w:rFonts w:ascii="Georgia" w:cs="Georgia" w:eastAsia="Georgia" w:hAnsi="Georgia"/>
          <w:b w:val="false"/>
          <w:bCs w:val="false"/>
          <w:color w:val="D0D5DD"/>
          <w:sz w:val="19"/>
          <w:szCs w:val="19"/>
        </w:rPr>
        <w:t xml:space="preserve">   |   </w:t>
      </w:r>
      <w:r>
        <w:rPr>
          <w:rFonts w:ascii="Georgia" w:cs="Georgia" w:eastAsia="Georgia" w:hAnsi="Georgia"/>
          <w:b/>
          <w:bCs/>
          <w:color w:val="0D2137"/>
          <w:sz w:val="19"/>
          <w:szCs w:val="19"/>
        </w:rPr>
        <w:t xml:space="preserve">Runs: </w:t>
      </w:r>
      <w:r>
        <w:rPr>
          <w:rFonts w:ascii="Georgia" w:cs="Georgia" w:eastAsia="Georgia" w:hAnsi="Georgia"/>
          <w:b w:val="false"/>
          <w:bCs w:val="false"/>
          <w:color w:val="374151"/>
          <w:sz w:val="19"/>
          <w:szCs w:val="19"/>
        </w:rPr>
        <w:t xml:space="preserve">3 per architecture, averaged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E8672A"/>
          <w:sz w:val="20"/>
          <w:szCs w:val="20"/>
        </w:rPr>
        <w:t xml:space="preserve">RESULTS</w:t>
      </w:r>
    </w:p>
    <w:p>
      <w:pPr>
        <w:spacing w:before="0" w:after="120"/>
      </w:pPr>
      <w:r>
        <w:rPr>
          <w:rFonts w:ascii="Georgia" w:cs="Georgia" w:eastAsia="Georgia" w:hAnsi="Georgia"/>
          <w:b/>
          <w:bCs/>
          <w:color w:val="0D2137"/>
          <w:sz w:val="28"/>
          <w:szCs w:val="28"/>
        </w:rPr>
        <w:t xml:space="preserve">Real API data — 3 runs averaged per architecture</w:t>
      </w:r>
    </w:p>
    <w:p>
      <w:pPr>
        <w:pBdr>
          <w:bottom w:val="single" w:color="E8672A" w:sz="4" w:space="1"/>
        </w:pBdr>
        <w:spacing w:before="0" w:after="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80"/>
        <w:gridCol w:w="1480"/>
        <w:gridCol w:w="1360"/>
        <w:gridCol w:w="1360"/>
        <w:gridCol w:w="1480"/>
      </w:tblGrid>
      <w:t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2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Sys Prompt</w:t>
            </w:r>
          </w:p>
        </w:tc>
        <w:tc>
          <w:tcPr>
            <w:tcW w:type="dxa" w:w="14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Total Tokens</w:t>
            </w:r>
          </w:p>
        </w:tc>
        <w:tc>
          <w:tcPr>
            <w:tcW w:type="dxa" w:w="1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Cost/Query</w:t>
            </w:r>
          </w:p>
        </w:tc>
        <w:tc>
          <w:tcPr>
            <w:tcW w:type="dxa" w:w="1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Tool Calls</w:t>
            </w:r>
          </w:p>
        </w:tc>
        <w:tc>
          <w:tcPr>
            <w:tcW w:type="dxa" w:w="14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Prompt Overhead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20"/>
                <w:szCs w:val="20"/>
              </w:rPr>
              <w:t xml:space="preserve">Optimized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6"/>
                <w:szCs w:val="16"/>
              </w:rPr>
              <w:t xml:space="preserve">BASELINE</w:t>
            </w:r>
          </w:p>
        </w:tc>
        <w:tc>
          <w:tcPr>
            <w:tcW w:type="dxa" w:w="1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9"/>
                <w:szCs w:val="19"/>
              </w:rPr>
              <w:t xml:space="preserve">48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9"/>
                <w:szCs w:val="19"/>
              </w:rPr>
              <w:t xml:space="preserve">2,456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9"/>
                <w:szCs w:val="19"/>
              </w:rPr>
              <w:t xml:space="preserve">$0.00022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9"/>
                <w:szCs w:val="19"/>
              </w:rPr>
              <w:t xml:space="preserve">2.0%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20"/>
                <w:szCs w:val="20"/>
              </w:rPr>
              <w:t xml:space="preserve">Tutorial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6"/>
                <w:szCs w:val="16"/>
              </w:rPr>
              <w:t xml:space="preserve">1.54x cost</w:t>
            </w:r>
          </w:p>
        </w:tc>
        <w:tc>
          <w:tcPr>
            <w:tcW w:type="dxa" w:w="1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122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9"/>
                <w:szCs w:val="19"/>
              </w:rPr>
              <w:t xml:space="preserve">2,621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$0.00034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4.7%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20"/>
                <w:szCs w:val="20"/>
              </w:rPr>
              <w:t xml:space="preserve">Enterprise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6"/>
                <w:szCs w:val="16"/>
              </w:rPr>
              <w:t xml:space="preserve">1.32x cost</w:t>
            </w:r>
          </w:p>
        </w:tc>
        <w:tc>
          <w:tcPr>
            <w:tcW w:type="dxa" w:w="1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271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9"/>
                <w:szCs w:val="19"/>
              </w:rPr>
              <w:t xml:space="preserve">2,957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$0.00029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9.2%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W w:type="dxa" w:w="3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CE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22"/>
                <w:szCs w:val="22"/>
              </w:rPr>
              <w:t xml:space="preserve">5.6× prompt inflation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28"/>
                <w:szCs w:val="28"/>
              </w:rPr>
              <w:t xml:space="preserve">48 → 271 tokens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7"/>
                <w:szCs w:val="17"/>
              </w:rPr>
              <w:t xml:space="preserve">Optimized to Enterprise system prompt</w:t>
            </w:r>
          </w:p>
        </w:tc>
        <w:tc>
          <w:tcPr>
            <w:tcW w:type="dxa" w:w="30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22"/>
                <w:szCs w:val="22"/>
              </w:rPr>
              <w:t xml:space="preserve">1.54× cost premium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28"/>
                <w:szCs w:val="28"/>
              </w:rPr>
              <w:t xml:space="preserve">Tutorial vs Optimized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7"/>
                <w:szCs w:val="17"/>
              </w:rPr>
              <w:t xml:space="preserve">For identical business output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22"/>
                <w:szCs w:val="22"/>
              </w:rPr>
              <w:t xml:space="preserve">Same answer, all three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28"/>
                <w:szCs w:val="28"/>
              </w:rPr>
              <w:t xml:space="preserve">12 critical assets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7"/>
                <w:szCs w:val="17"/>
              </w:rPr>
              <w:t xml:space="preserve">$1.27M value, 42.7 avg health</w:t>
            </w:r>
          </w:p>
        </w:tc>
      </w:tr>
    </w:tbl>
    <w:p>
      <w:pPr>
        <w:spacing w:before="0" w:after="240"/>
      </w:pP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E8672A"/>
          <w:sz w:val="20"/>
          <w:szCs w:val="20"/>
        </w:rPr>
        <w:t xml:space="preserve">AT SCALE</w:t>
      </w:r>
    </w:p>
    <w:p>
      <w:pPr>
        <w:spacing w:before="0" w:after="120"/>
      </w:pPr>
      <w:r>
        <w:rPr>
          <w:rFonts w:ascii="Georgia" w:cs="Georgia" w:eastAsia="Georgia" w:hAnsi="Georgia"/>
          <w:b/>
          <w:bCs/>
          <w:color w:val="0D2137"/>
          <w:sz w:val="28"/>
          <w:szCs w:val="28"/>
        </w:rPr>
        <w:t xml:space="preserve">50,000 queries / month</w:t>
      </w:r>
    </w:p>
    <w:p>
      <w:pPr>
        <w:pBdr>
          <w:bottom w:val="single" w:color="E8672A" w:sz="4" w:space="1"/>
        </w:pBdr>
        <w:spacing w:before="0" w:after="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21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Optimized</w:t>
            </w:r>
          </w:p>
        </w:tc>
        <w:tc>
          <w:tcPr>
            <w:tcW w:type="dxa" w:w="21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Tutorial</w:t>
            </w:r>
          </w:p>
        </w:tc>
        <w:tc>
          <w:tcPr>
            <w:tcW w:type="dxa" w:w="212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74151"/>
                <w:sz w:val="19"/>
                <w:szCs w:val="19"/>
              </w:rPr>
              <w:t xml:space="preserve">Monthly cost (50K queries)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9"/>
                <w:szCs w:val="19"/>
              </w:rPr>
              <w:t xml:space="preserve">$10.97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$16.91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$14.53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74151"/>
                <w:sz w:val="19"/>
                <w:szCs w:val="19"/>
              </w:rPr>
              <w:t xml:space="preserve">Annual cost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7A4A"/>
                <w:sz w:val="19"/>
                <w:szCs w:val="19"/>
              </w:rPr>
              <w:t xml:space="preserve">$131.64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$202.92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$174.36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74151"/>
                <w:sz w:val="19"/>
                <w:szCs w:val="19"/>
              </w:rPr>
              <w:t xml:space="preserve">Annual delta vs Optimized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A7A4A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5C00"/>
                <w:sz w:val="19"/>
                <w:szCs w:val="19"/>
              </w:rPr>
              <w:t xml:space="preserve">+$71.28</w:t>
            </w:r>
          </w:p>
        </w:tc>
        <w:tc>
          <w:tcPr>
            <w:tcW w:type="dxa" w:w="2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71C1C"/>
                <w:sz w:val="19"/>
                <w:szCs w:val="19"/>
              </w:rPr>
              <w:t xml:space="preserve">+$42.72</w:t>
            </w:r>
          </w:p>
        </w:tc>
      </w:tr>
    </w:tbl>
    <w:p>
      <w:pPr>
        <w:spacing w:before="0" w:after="80"/>
      </w:pPr>
    </w:p>
    <w:p>
      <w:pPr>
        <w:spacing w:before="0" w:after="240"/>
      </w:pPr>
      <w:r>
        <w:rPr>
          <w:rFonts w:ascii="Georgia" w:cs="Georgia" w:eastAsia="Georgia" w:hAnsi="Georgia"/>
          <w:b/>
          <w:bCs/>
          <w:color w:val="2C4A6E"/>
          <w:sz w:val="18"/>
          <w:szCs w:val="18"/>
        </w:rPr>
        <w:t xml:space="preserve">Note: </w:t>
      </w:r>
      <w:r>
        <w:rPr>
          <w:rFonts w:ascii="Georgia" w:cs="Georgia" w:eastAsia="Georgia" w:hAnsi="Georgia"/>
          <w:b w:val="false"/>
          <w:bCs w:val="false"/>
          <w:color w:val="374151"/>
          <w:sz w:val="18"/>
          <w:szCs w:val="18"/>
        </w:rPr>
        <w:t xml:space="preserve">At 500K queries/month, the Tutorial architecture costs $712 more per year than Optimized — purely from prompt design choices.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E8672A"/>
          <w:sz w:val="20"/>
          <w:szCs w:val="20"/>
        </w:rPr>
        <w:t xml:space="preserve">FINDINGS</w:t>
      </w:r>
    </w:p>
    <w:p>
      <w:pPr>
        <w:spacing w:before="0" w:after="120"/>
      </w:pPr>
      <w:r>
        <w:rPr>
          <w:rFonts w:ascii="Georgia" w:cs="Georgia" w:eastAsia="Georgia" w:hAnsi="Georgia"/>
          <w:b/>
          <w:bCs/>
          <w:color w:val="0D2137"/>
          <w:sz w:val="28"/>
          <w:szCs w:val="28"/>
        </w:rPr>
        <w:t xml:space="preserve">Five things the data shows</w:t>
      </w:r>
    </w:p>
    <w:p>
      <w:pPr>
        <w:pBdr>
          <w:bottom w:val="single" w:color="E8672A" w:sz="4" w:space="1"/>
        </w:pBdr>
        <w:spacing w:before="0" w:after="0"/>
      </w:pP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0"/>
                <w:szCs w:val="20"/>
              </w:rPr>
              <w:t xml:space="preserve">Same tool choice across all three architectures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All architectures made 1 call to query_assets. Tool selection was not the differentiator — prompt design was.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0"/>
                <w:szCs w:val="20"/>
              </w:rPr>
              <w:t xml:space="preserve">Prompt length is the primary cost driver here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48 vs 122 vs 271 system-prompt tokens — 5.6× range — with no improvement in answer quality.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0"/>
                <w:szCs w:val="20"/>
              </w:rPr>
              <w:t xml:space="preserve">Output constraints compound the savings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The 150-token output cap in Optimized produced 53 output tokens vs 70 (Tutorial) and 108 (Enterprise). Output is billed too.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0"/>
                <w:szCs w:val="20"/>
              </w:rPr>
              <w:t xml:space="preserve">Prompt overhead ratio exposes hidden waste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2.0% vs 4.7% vs 9.2%. The Enterprise prompt is paying 9¢ of every $1 in query cost just to carry governance boilerplate.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0"/>
                <w:szCs w:val="20"/>
              </w:rPr>
              <w:t xml:space="preserve">Architecture inefficiency is invisible to the model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374151"/>
                <w:sz w:val="18"/>
                <w:szCs w:val="18"/>
              </w:rPr>
              <w:t xml:space="preserve">GPT-4o-mini produced equivalent business answers regardless of prompt bloat. The waste is architectural, not AI.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72A" w:sz="1"/>
              <w:left w:val="single" w:color="E8672A" w:sz="16"/>
              <w:bottom w:val="single" w:color="E8672A" w:sz="1"/>
              <w:right w:val="none" w:color="FFFFFF" w:sz="0"/>
            </w:tcBorders>
            <w:shd w:fill="0D21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Georgia" w:cs="Georgia" w:eastAsia="Georgia" w:hAnsi="Georgia"/>
                <w:b/>
                <w:bCs/>
                <w:color w:val="E8672A"/>
                <w:sz w:val="18"/>
                <w:szCs w:val="18"/>
              </w:rPr>
              <w:t xml:space="preserve">THESIS</w:t>
            </w:r>
          </w:p>
          <w:p>
            <w:pPr>
              <w:spacing w:before="0" w:after="12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AEQ = Business Value Delivered / Tokens Consumed</w:t>
            </w: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 w:val="false"/>
                <w:bCs w:val="false"/>
                <w:color w:val="A8C4DC"/>
                <w:sz w:val="20"/>
                <w:szCs w:val="20"/>
              </w:rPr>
              <w:t xml:space="preserve">Same model and query, different prompt design → 7–54% cost difference for the same outcome.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A8C4DC"/>
                <w:sz w:val="20"/>
                <w:szCs w:val="20"/>
              </w:rPr>
              <w:t xml:space="preserve">Prompt design and output constraints matter even when tool selection is correct.</w:t>
            </w:r>
          </w:p>
        </w:tc>
      </w:tr>
    </w:tbl>
    <w:p>
      <w:pPr>
        <w:spacing w:before="0" w:after="240"/>
      </w:pP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E8672A"/>
          <w:sz w:val="20"/>
          <w:szCs w:val="20"/>
        </w:rPr>
        <w:t xml:space="preserve">REPO &amp; METHODOLOGY</w:t>
      </w:r>
    </w:p>
    <w:p>
      <w:pPr>
        <w:pBdr>
          <w:bottom w:val="single" w:color="E8672A" w:sz="4" w:space="1"/>
        </w:pBdr>
        <w:spacing w:before="0" w:after="0"/>
      </w:pPr>
    </w:p>
    <w:p>
      <w:pPr>
        <w:spacing w:before="0" w:after="100"/>
      </w:pP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0D2137"/>
          <w:sz w:val="20"/>
          <w:szCs w:val="20"/>
        </w:rPr>
        <w:t xml:space="preserve">github.com/ibucketbranch/AgentSaasy_NGAI</w:t>
      </w:r>
    </w:p>
    <w:p>
      <w:pPr>
        <w:spacing w:before="0" w:after="60"/>
      </w:pPr>
      <w:r>
        <w:rPr>
          <w:rFonts w:ascii="Courier New" w:cs="Courier New" w:eastAsia="Courier New" w:hAnsi="Courier New"/>
          <w:b w:val="false"/>
          <w:bCs w:val="false"/>
          <w:color w:val="E8672A"/>
          <w:sz w:val="18"/>
          <w:szCs w:val="18"/>
        </w:rPr>
        <w:t xml:space="preserve">experiments/aeq_experiment.py</w:t>
      </w:r>
      <w:r>
        <w:rPr>
          <w:rFonts w:ascii="Georgia" w:cs="Georgia" w:eastAsia="Georgia" w:hAnsi="Georgia"/>
          <w:b w:val="false"/>
          <w:bCs w:val="false"/>
          <w:color w:val="374151"/>
          <w:sz w:val="18"/>
          <w:szCs w:val="18"/>
        </w:rPr>
        <w:t xml:space="preserve">  —  experiment script</w:t>
      </w:r>
    </w:p>
    <w:p>
      <w:pPr>
        <w:spacing w:before="0" w:after="60"/>
      </w:pPr>
      <w:r>
        <w:rPr>
          <w:rFonts w:ascii="Courier New" w:cs="Courier New" w:eastAsia="Courier New" w:hAnsi="Courier New"/>
          <w:b w:val="false"/>
          <w:bCs w:val="false"/>
          <w:color w:val="E8672A"/>
          <w:sz w:val="18"/>
          <w:szCs w:val="18"/>
        </w:rPr>
        <w:t xml:space="preserve">experiments/STUDY-DESIGN.md</w:t>
      </w:r>
      <w:r>
        <w:rPr>
          <w:rFonts w:ascii="Georgia" w:cs="Georgia" w:eastAsia="Georgia" w:hAnsi="Georgia"/>
          <w:b w:val="false"/>
          <w:bCs w:val="false"/>
          <w:color w:val="374151"/>
          <w:sz w:val="18"/>
          <w:szCs w:val="18"/>
        </w:rPr>
        <w:t xml:space="preserve">  —  methodology and citations</w:t>
      </w:r>
    </w:p>
    <w:p>
      <w:pPr>
        <w:spacing w:before="0" w:after="120"/>
      </w:pPr>
      <w:r>
        <w:rPr>
          <w:rFonts w:ascii="Courier New" w:cs="Courier New" w:eastAsia="Courier New" w:hAnsi="Courier New"/>
          <w:b w:val="false"/>
          <w:bCs w:val="false"/>
          <w:color w:val="E8672A"/>
          <w:sz w:val="18"/>
          <w:szCs w:val="18"/>
        </w:rPr>
        <w:t xml:space="preserve">experiments/aeq_experiment_results.txt</w:t>
      </w:r>
      <w:r>
        <w:rPr>
          <w:rFonts w:ascii="Georgia" w:cs="Georgia" w:eastAsia="Georgia" w:hAnsi="Georgia"/>
          <w:b w:val="false"/>
          <w:bCs w:val="false"/>
          <w:color w:val="374151"/>
          <w:sz w:val="18"/>
          <w:szCs w:val="18"/>
        </w:rPr>
        <w:t xml:space="preserve">  —  full results</w:t>
      </w:r>
    </w:p>
    <w:p>
      <w:pPr>
        <w:pBdr>
          <w:bottom w:val="single" w:color="D0D5DD" w:sz="4" w:space="1"/>
        </w:pBdr>
        <w:spacing w:before="0" w:after="0"/>
      </w:pPr>
    </w:p>
    <w:p>
      <w:pPr>
        <w:spacing w:before="80" w:after="0"/>
        <w:jc w:val="center"/>
      </w:pPr>
      <w:r>
        <w:rPr>
          <w:rFonts w:ascii="Georgia" w:cs="Georgia" w:eastAsia="Georgia" w:hAnsi="Georgia"/>
          <w:b w:val="false"/>
          <w:bCs w:val="false"/>
          <w:color w:val="2C4A6E"/>
          <w:sz w:val="17"/>
          <w:szCs w:val="17"/>
        </w:rPr>
        <w:t xml:space="preserve">Michael Valderrama  |  AI Agent Architecture  |  March 2026  |  AgentSaasy_NGAI  |  AEQ Framework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2026-03-04T17:36:40.362Z</dcterms:created>
  <dcterms:modified xsi:type="dcterms:W3CDTF">2026-03-04T17:36:40.363Z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