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bCs/>
          <w:sz w:val="24"/>
          <w:szCs w:val="24"/>
        </w:rPr>
        <w:t xml:space="preserve">Predictive Maintenance of Industrial Machines: Imbalanced Failure</w:t>
      </w:r>
    </w:p>
    <w:p>
      <w:pPr>
        <w:spacing w:line="480" w:lineRule="auto"/>
        <w:jc w:val="center"/>
      </w:pPr>
      <w:r>
        <w:rPr>
          <w:rFonts w:ascii="Times New Roman" w:cs="Times New Roman" w:eastAsia="Times New Roman" w:hAnsi="Times New Roman"/>
          <w:b/>
          <w:bCs/>
          <w:sz w:val="24"/>
          <w:szCs w:val="24"/>
        </w:rPr>
        <w:t xml:space="preserve">Classification on the AI4I 2020 Dataset</w:t>
      </w:r>
    </w:p>
    <w:p>
      <w:pPr>
        <w:spacing w:line="480" w:lineRule="auto"/>
      </w:pPr>
      <w:r>
        <w:rPr>
          <w:rFonts w:ascii="Times New Roman" w:cs="Times New Roman" w:eastAsia="Times New Roman" w:hAnsi="Times New Roman"/>
          <w:sz w:val="24"/>
          <w:szCs w:val="24"/>
        </w:rPr>
        <w:t xml:space="preserve"/>
      </w:r>
    </w:p>
    <w:p>
      <w:pPr>
        <w:spacing w:line="480" w:lineRule="auto"/>
        <w:jc w:val="center"/>
      </w:pPr>
      <w:r>
        <w:rPr>
          <w:rFonts w:ascii="Times New Roman" w:cs="Times New Roman" w:eastAsia="Times New Roman" w:hAnsi="Times New Roman"/>
          <w:b w:val="false"/>
          <w:bCs w:val="false"/>
          <w:sz w:val="24"/>
          <w:szCs w:val="24"/>
        </w:rPr>
        <w:t xml:space="preserve">Michael Valderrama</w:t>
      </w:r>
    </w:p>
    <w:p>
      <w:pPr>
        <w:spacing w:line="480" w:lineRule="auto"/>
        <w:jc w:val="center"/>
      </w:pPr>
      <w:r>
        <w:rPr>
          <w:rFonts w:ascii="Times New Roman" w:cs="Times New Roman" w:eastAsia="Times New Roman" w:hAnsi="Times New Roman"/>
          <w:b w:val="false"/>
          <w:bCs w:val="false"/>
          <w:sz w:val="24"/>
          <w:szCs w:val="24"/>
        </w:rPr>
        <w:t xml:space="preserve">Shiley-Marcos School of Engineering, University of San Diego</w:t>
      </w:r>
    </w:p>
    <w:p>
      <w:pPr>
        <w:spacing w:line="480" w:lineRule="auto"/>
        <w:jc w:val="center"/>
      </w:pPr>
      <w:r>
        <w:rPr>
          <w:rFonts w:ascii="Times New Roman" w:cs="Times New Roman" w:eastAsia="Times New Roman" w:hAnsi="Times New Roman"/>
          <w:b w:val="false"/>
          <w:bCs w:val="false"/>
          <w:sz w:val="24"/>
          <w:szCs w:val="24"/>
        </w:rPr>
        <w:t xml:space="preserve">AAI-501-01: Introduction to Artificial Intelligence and Machine Learning</w:t>
      </w:r>
    </w:p>
    <w:p>
      <w:pPr>
        <w:spacing w:line="480" w:lineRule="auto"/>
        <w:jc w:val="center"/>
      </w:pPr>
      <w:r>
        <w:rPr>
          <w:rFonts w:ascii="Times New Roman" w:cs="Times New Roman" w:eastAsia="Times New Roman" w:hAnsi="Times New Roman"/>
          <w:b w:val="false"/>
          <w:bCs w:val="false"/>
          <w:sz w:val="24"/>
          <w:szCs w:val="24"/>
        </w:rPr>
        <w:t xml:space="preserve">Andrew Van Benschoten, Ph.D.</w:t>
      </w:r>
    </w:p>
    <w:p>
      <w:pPr>
        <w:spacing w:line="480" w:lineRule="auto"/>
        <w:jc w:val="center"/>
      </w:pPr>
      <w:r>
        <w:rPr>
          <w:rFonts w:ascii="Times New Roman" w:cs="Times New Roman" w:eastAsia="Times New Roman" w:hAnsi="Times New Roman"/>
          <w:b w:val="false"/>
          <w:bCs w:val="false"/>
          <w:sz w:val="24"/>
          <w:szCs w:val="24"/>
        </w:rPr>
        <w:t xml:space="preserve">July 13, 2026</w:t>
      </w:r>
    </w:p>
    <w:p>
      <w:r>
        <w:br w:type="page"/>
      </w:r>
    </w:p>
    <w:p>
      <w:pPr>
        <w:spacing w:line="480" w:lineRule="auto"/>
        <w:jc w:val="center"/>
      </w:pPr>
      <w:r>
        <w:rPr>
          <w:rFonts w:ascii="Times New Roman" w:cs="Times New Roman" w:eastAsia="Times New Roman" w:hAnsi="Times New Roman"/>
          <w:b/>
          <w:bCs/>
          <w:sz w:val="24"/>
          <w:szCs w:val="24"/>
        </w:rPr>
        <w:t xml:space="preserve">Predictive Maintenance of Industrial Machines: Imbalanced Failure Classification on the AI4I 2020 Dataset</w:t>
      </w:r>
    </w:p>
    <w:p>
      <w:pPr>
        <w:spacing w:line="480" w:lineRule="auto"/>
        <w:ind w:firstLine="720"/>
        <w:jc w:val="left"/>
      </w:pPr>
      <w:r>
        <w:rPr>
          <w:rFonts w:ascii="Times New Roman" w:cs="Times New Roman" w:eastAsia="Times New Roman" w:hAnsi="Times New Roman"/>
          <w:sz w:val="24"/>
          <w:szCs w:val="24"/>
        </w:rPr>
        <w:t xml:space="preserve">This project will build and compare machine learning classifiers that predict machine failure from real-time equipment sensor readings, using the AI4I 2020 Predictive Maintenance dataset from the UCI Machine Learning Repository. The central emphasis is handling the severe class imbalance inherent in failure data and identifying which sensor signals most strongly drive failure, so that the resulting model is not only accurate but also interpretable and actionable for a maintenance team.</w:t>
      </w:r>
    </w:p>
    <w:p>
      <w:pPr>
        <w:spacing w:line="480" w:lineRule="auto"/>
        <w:jc w:val="center"/>
      </w:pPr>
      <w:r>
        <w:rPr>
          <w:rFonts w:ascii="Times New Roman" w:cs="Times New Roman" w:eastAsia="Times New Roman" w:hAnsi="Times New Roman"/>
          <w:b/>
          <w:bCs/>
          <w:sz w:val="24"/>
          <w:szCs w:val="24"/>
        </w:rPr>
        <w:t xml:space="preserve">Problem and Proposed Approach</w:t>
      </w:r>
    </w:p>
    <w:p>
      <w:pPr>
        <w:spacing w:line="480" w:lineRule="auto"/>
        <w:ind w:firstLine="720"/>
        <w:jc w:val="left"/>
      </w:pPr>
      <w:r>
        <w:rPr>
          <w:rFonts w:ascii="Times New Roman" w:cs="Times New Roman" w:eastAsia="Times New Roman" w:hAnsi="Times New Roman"/>
          <w:sz w:val="24"/>
          <w:szCs w:val="24"/>
        </w:rPr>
        <w:t xml:space="preserve">Unplanned equipment failure is costly, and predictive maintenance aims to flag failures before they occur so that service can be scheduled proactively. The AI4I 2020 dataset contains 10,000 synthetic but realistic records, each describing an operating point through air temperature, process temperature, rotational speed, torque, and tool wear, along with a product quality grade (low, medium, or high). Each record carries a binary machine-failure label and five specific failure modes (tool wear, heat dissipation, power, overstrain, and random failure). Failures make up only about 3.4 percent of the data, which creates a severe class imbalance that must be handled carefully.</w:t>
      </w:r>
    </w:p>
    <w:p>
      <w:pPr>
        <w:spacing w:line="480" w:lineRule="auto"/>
        <w:ind w:firstLine="720"/>
        <w:jc w:val="left"/>
      </w:pPr>
      <w:r>
        <w:rPr>
          <w:rFonts w:ascii="Times New Roman" w:cs="Times New Roman" w:eastAsia="Times New Roman" w:hAnsi="Times New Roman"/>
          <w:sz w:val="24"/>
          <w:szCs w:val="24"/>
        </w:rPr>
        <w:t xml:space="preserve">The investigation will use at least two different types of algorithms studied in this course. Logistic regression will serve as an interpretable linear baseline, and a random forest will provide a non-linear ensemble model with feature-importance estimates; gradient boosting (XGBoost) may be added as a third comparator. The experimental comparison will run along three axes: algorithm versus algorithm; imbalance handling on versus off (class weighting and synthetic minority over-sampling, or SMOTE); and the full feature set versus a reduced set of the most important features. As an optional unsupervised extension, K-means clustering will be used to group operating regimes and examine which regimes carry the most failure risk.</w:t>
      </w:r>
    </w:p>
    <w:p>
      <w:pPr>
        <w:spacing w:line="480" w:lineRule="auto"/>
        <w:ind w:firstLine="720"/>
        <w:jc w:val="left"/>
      </w:pPr>
      <w:r>
        <w:rPr>
          <w:rFonts w:ascii="Times New Roman" w:cs="Times New Roman" w:eastAsia="Times New Roman" w:hAnsi="Times New Roman"/>
          <w:sz w:val="24"/>
          <w:szCs w:val="24"/>
        </w:rPr>
        <w:t xml:space="preserve">The system to be built is a reproducible scikit-learn pipeline in a documented Jupyter notebook that loads the data, performs exploratory data analysis, preprocesses features, trains and tunes each model, and evaluates results. The code will live in a GitHub repository with a README and a ruff linting workflow, following the PEP 8 style guide. Deliverable outputs will include precision-recall curves, confusion matrices, and feature-importance plots.</w:t>
      </w:r>
    </w:p>
    <w:p>
      <w:pPr>
        <w:spacing w:line="480" w:lineRule="auto"/>
        <w:jc w:val="center"/>
      </w:pPr>
      <w:r>
        <w:rPr>
          <w:rFonts w:ascii="Times New Roman" w:cs="Times New Roman" w:eastAsia="Times New Roman" w:hAnsi="Times New Roman"/>
          <w:b/>
          <w:bCs/>
          <w:sz w:val="24"/>
          <w:szCs w:val="24"/>
        </w:rPr>
        <w:t xml:space="preserve">Related Course Topics</w:t>
      </w:r>
    </w:p>
    <w:p>
      <w:pPr>
        <w:spacing w:line="480" w:lineRule="auto"/>
        <w:ind w:firstLine="720"/>
        <w:jc w:val="left"/>
      </w:pPr>
      <w:r>
        <w:rPr>
          <w:rFonts w:ascii="Times New Roman" w:cs="Times New Roman" w:eastAsia="Times New Roman" w:hAnsi="Times New Roman"/>
          <w:sz w:val="24"/>
          <w:szCs w:val="24"/>
        </w:rPr>
        <w:t xml:space="preserve">This project draws directly on several course topics: supervised classification; the machine learning lifecycle from data preparation through evaluation; model evaluation and metrics for imbalanced data; feature selection and feature importance; hyperparameter tuning; and, as an optional extension, unsupervised clustering. These map to the core machine learning material in Poole and Mackworth (2023, Chapter 7).</w:t>
      </w:r>
    </w:p>
    <w:p>
      <w:pPr>
        <w:spacing w:line="480" w:lineRule="auto"/>
        <w:jc w:val="center"/>
      </w:pPr>
      <w:r>
        <w:rPr>
          <w:rFonts w:ascii="Times New Roman" w:cs="Times New Roman" w:eastAsia="Times New Roman" w:hAnsi="Times New Roman"/>
          <w:b/>
          <w:bCs/>
          <w:sz w:val="24"/>
          <w:szCs w:val="24"/>
        </w:rPr>
        <w:t xml:space="preserve">Expected System Behaviors</w:t>
      </w:r>
    </w:p>
    <w:p>
      <w:pPr>
        <w:spacing w:line="480" w:lineRule="auto"/>
        <w:ind w:firstLine="720"/>
        <w:jc w:val="left"/>
      </w:pPr>
      <w:r>
        <w:rPr>
          <w:rFonts w:ascii="Times New Roman" w:cs="Times New Roman" w:eastAsia="Times New Roman" w:hAnsi="Times New Roman"/>
          <w:sz w:val="24"/>
          <w:szCs w:val="24"/>
        </w:rPr>
        <w:t xml:space="preserve">A successful model should flag likely failures with high recall on the minority class while keeping false alarms controlled. Feature importance is expected to surface torque, tool wear, and the difference between process and air temperature as leading drivers of failure. Failure-mode structure should also emerge; for example, heat-dissipation failures are expected to align with low rotational speed and a large temperature differential, while overstrain failures are expected to align with high torque and high tool wear. The random-failure mode, with only 19 examples, is expected to be effectively unlearnable, which is itself a legitimate finding to report.</w:t>
      </w:r>
    </w:p>
    <w:p>
      <w:pPr>
        <w:spacing w:line="480" w:lineRule="auto"/>
        <w:jc w:val="center"/>
      </w:pPr>
      <w:r>
        <w:rPr>
          <w:rFonts w:ascii="Times New Roman" w:cs="Times New Roman" w:eastAsia="Times New Roman" w:hAnsi="Times New Roman"/>
          <w:b/>
          <w:bCs/>
          <w:sz w:val="24"/>
          <w:szCs w:val="24"/>
        </w:rPr>
        <w:t xml:space="preserve">Issues of Focus</w:t>
      </w:r>
    </w:p>
    <w:p>
      <w:pPr>
        <w:spacing w:line="480" w:lineRule="auto"/>
        <w:ind w:firstLine="720"/>
        <w:jc w:val="left"/>
      </w:pPr>
      <w:r>
        <w:rPr>
          <w:rFonts w:ascii="Times New Roman" w:cs="Times New Roman" w:eastAsia="Times New Roman" w:hAnsi="Times New Roman"/>
          <w:sz w:val="24"/>
          <w:szCs w:val="24"/>
        </w:rPr>
        <w:t xml:space="preserve">Four issues will receive particular attention. First, the severe class imbalance will be addressed through class weighting and resampling, and results will be judged using precision-recall AUC, recall, and F1 rather than raw accuracy, which is misleading when only 3.4 percent of cases are positive. Second, the pipeline will be built to avoid data leakage between training and testing. Third, interpretability will be a priority: the project will test whether a small number of key sensors is sufficient and whether a reduced-feature model performs comparably to the full model, which would be an actionable maintenance result. Fourth, the precision-recall threshold trade-off will be examined to recommend a practical alerting policy.</w:t>
      </w:r>
    </w:p>
    <w:p>
      <w:pPr>
        <w:spacing w:line="480" w:lineRule="auto"/>
        <w:ind w:firstLine="720"/>
        <w:jc w:val="left"/>
      </w:pPr>
      <w:r>
        <w:rPr>
          <w:rFonts w:ascii="Times New Roman" w:cs="Times New Roman" w:eastAsia="Times New Roman" w:hAnsi="Times New Roman"/>
          <w:sz w:val="24"/>
          <w:szCs w:val="24"/>
        </w:rPr>
        <w:t xml:space="preserve">AI tool disclosure: Generative AI (Claude) was used to help organize and edit this proposal and to scaffold the analysis plan. All technical choices, code, and final wording are my own and were reviewed for accuracy, consistent with the course academic integrity policy.</w:t>
      </w:r>
    </w:p>
    <w:p>
      <w:r>
        <w:br w:type="page"/>
      </w:r>
    </w:p>
    <w:p>
      <w:pPr>
        <w:spacing w:line="480" w:lineRule="auto"/>
        <w:jc w:val="center"/>
      </w:pPr>
      <w:r>
        <w:rPr>
          <w:rFonts w:ascii="Times New Roman" w:cs="Times New Roman" w:eastAsia="Times New Roman" w:hAnsi="Times New Roman"/>
          <w:b/>
          <w:bCs/>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Breiman, L. (2001). Random forests. Machine Learning, 45(1), 5-32. https://doi.org/10.1023/A:1010933404324</w:t>
      </w:r>
    </w:p>
    <w:p>
      <w:pPr>
        <w:spacing w:line="480" w:lineRule="auto"/>
        <w:ind w:left="720" w:hanging="720"/>
      </w:pPr>
      <w:r>
        <w:rPr>
          <w:rFonts w:ascii="Times New Roman" w:cs="Times New Roman" w:eastAsia="Times New Roman" w:hAnsi="Times New Roman"/>
          <w:sz w:val="24"/>
          <w:szCs w:val="24"/>
        </w:rPr>
        <w:t xml:space="preserve">Carvalho, T. P., Soares, F. A. A. M. N., Vita, R., Francisco, R. da P., Basto, J. P., &amp; Alcala, S. G. S. (2019). A systematic literature review of machine learning methods applied to predictive maintenance. Computers &amp; Industrial Engineering, 137, 106024. https://doi.org/10.1016/j.cie.2019.106024</w:t>
      </w:r>
    </w:p>
    <w:p>
      <w:pPr>
        <w:spacing w:line="480" w:lineRule="auto"/>
        <w:ind w:left="720" w:hanging="720"/>
      </w:pPr>
      <w:r>
        <w:rPr>
          <w:rFonts w:ascii="Times New Roman" w:cs="Times New Roman" w:eastAsia="Times New Roman" w:hAnsi="Times New Roman"/>
          <w:sz w:val="24"/>
          <w:szCs w:val="24"/>
        </w:rPr>
        <w:t xml:space="preserve">Chawla, N. V., Bowyer, K. W., Hall, L. O., &amp; Kegelmeyer, W. P. (2002). SMOTE: Synthetic minority over-sampling technique. Journal of Artificial Intelligence Research, 16, 321-357. https://doi.org/10.1613/jair.953</w:t>
      </w:r>
    </w:p>
    <w:p>
      <w:pPr>
        <w:spacing w:line="480" w:lineRule="auto"/>
        <w:ind w:left="720" w:hanging="720"/>
      </w:pPr>
      <w:r>
        <w:rPr>
          <w:rFonts w:ascii="Times New Roman" w:cs="Times New Roman" w:eastAsia="Times New Roman" w:hAnsi="Times New Roman"/>
          <w:sz w:val="24"/>
          <w:szCs w:val="24"/>
        </w:rPr>
        <w:t xml:space="preserve">Matzka, S. (2020). Explainable artificial intelligence for predictive maintenance applications. In 2020 Third International Conference on Artificial Intelligence for Industries (AI4I) (pp. 69-74). IEEE. https://doi.org/10.1109/AI4I49448.2020.00023</w:t>
      </w:r>
    </w:p>
    <w:p>
      <w:pPr>
        <w:spacing w:line="480" w:lineRule="auto"/>
        <w:ind w:left="720" w:hanging="720"/>
      </w:pPr>
      <w:r>
        <w:rPr>
          <w:rFonts w:ascii="Times New Roman" w:cs="Times New Roman" w:eastAsia="Times New Roman" w:hAnsi="Times New Roman"/>
          <w:sz w:val="24"/>
          <w:szCs w:val="24"/>
        </w:rPr>
        <w:t xml:space="preserve">Poole, D. L., &amp; Mackworth, A. K. (2023). Artificial intelligence: Foundations of computational agents (3rd ed.). Cambridge University Press.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2026-07-01T19:11:52.019Z</dcterms:created>
  <dcterms:modified xsi:type="dcterms:W3CDTF">2026-07-01T19:11:52.020Z</dcterms:modified>
</cp:coreProperties>
</file>

<file path=docProps/custom.xml><?xml version="1.0" encoding="utf-8"?>
<Properties xmlns="http://schemas.openxmlformats.org/officeDocument/2006/custom-properties" xmlns:vt="http://schemas.openxmlformats.org/officeDocument/2006/docPropsVTypes"/>
</file>