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2C" w:rsidRPr="00EE4D3F" w:rsidRDefault="008F692C" w:rsidP="00D712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6AF4054" w:rsidRPr="00BD2BE3" w:rsidRDefault="0093306B" w:rsidP="00D712F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C13989">
        <w:rPr>
          <w:rFonts w:ascii="Times New Roman" w:hAnsi="Times New Roman" w:cs="Times New Roman"/>
          <w:sz w:val="24"/>
          <w:szCs w:val="24"/>
          <w:lang w:val="en-US"/>
        </w:rPr>
        <w:t>SNP ANALYSIS OF lnc</w:t>
      </w:r>
      <w:r w:rsidR="00020693" w:rsidRPr="00C13989">
        <w:rPr>
          <w:rFonts w:ascii="Times New Roman" w:hAnsi="Times New Roman" w:cs="Times New Roman"/>
          <w:sz w:val="24"/>
          <w:szCs w:val="24"/>
          <w:lang w:val="en-US"/>
        </w:rPr>
        <w:t>RNA GENES ASSOCIATED WITH POLYCYSTIC OVARY SYNDROME</w:t>
      </w:r>
      <w:r w:rsidR="008F692C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USING</w:t>
      </w:r>
      <w:r w:rsidR="00020693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8F692C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CATALOG</w:t>
      </w:r>
      <w:r w:rsidR="00020693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AND THE 1000 GENOMES PROJECT</w:t>
      </w:r>
    </w:p>
    <w:p w:rsidR="00020693" w:rsidRPr="00C13989" w:rsidRDefault="008F692C" w:rsidP="06AF40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13989">
        <w:rPr>
          <w:rFonts w:ascii="Times New Roman" w:hAnsi="Times New Roman" w:cs="Times New Roman"/>
          <w:sz w:val="24"/>
          <w:szCs w:val="24"/>
          <w:lang w:val="en-GB"/>
        </w:rPr>
        <w:t>Authors</w:t>
      </w:r>
      <w:r w:rsidR="00020693" w:rsidRPr="00C1398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020693" w:rsidRPr="00C13989" w:rsidRDefault="00020693" w:rsidP="06AF40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8F692C" w:rsidRPr="00C13989">
        <w:rPr>
          <w:rFonts w:ascii="Times New Roman" w:hAnsi="Times New Roman" w:cs="Times New Roman"/>
          <w:sz w:val="24"/>
          <w:szCs w:val="24"/>
          <w:lang w:val="en-GB"/>
        </w:rPr>
        <w:t>I. Bulanov</w:t>
      </w:r>
      <w:r w:rsidRPr="00C139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3306B" w:rsidRPr="00C13989">
        <w:rPr>
          <w:rFonts w:ascii="Times New Roman" w:hAnsi="Times New Roman" w:cs="Times New Roman"/>
          <w:color w:val="006621"/>
          <w:sz w:val="24"/>
          <w:szCs w:val="24"/>
          <w:shd w:val="clear" w:color="auto" w:fill="FFFFFF"/>
          <w:lang w:val="en-US"/>
        </w:rPr>
        <w:t xml:space="preserve"> </w:t>
      </w:r>
      <w:r w:rsidR="0093306B" w:rsidRPr="00C1398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="00D013AB" w:rsidRPr="00C1398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93306B" w:rsidRPr="00C1398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93306B" w:rsidRPr="00C13989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Romanov</w:t>
      </w:r>
      <w:r w:rsidRPr="00C139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C0BFF" w:rsidRPr="00C1398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013AB" w:rsidRPr="00C139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0BFF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Lipovich</w:t>
      </w:r>
      <w:r w:rsidRPr="00C139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Start"/>
      <w:r w:rsidRPr="00C139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,3</w:t>
      </w:r>
      <w:proofErr w:type="gramEnd"/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0693" w:rsidRPr="00C13989" w:rsidRDefault="004512DB" w:rsidP="0093306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sz w:val="24"/>
          <w:szCs w:val="24"/>
          <w:lang w:val="en-US"/>
        </w:rPr>
        <w:t>Southern Federal University, Rostov-on-Don, Russia</w:t>
      </w:r>
    </w:p>
    <w:p w:rsidR="00020693" w:rsidRPr="00C13989" w:rsidRDefault="00020693" w:rsidP="0093306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sz w:val="24"/>
          <w:szCs w:val="24"/>
          <w:lang w:val="en-US"/>
        </w:rPr>
        <w:t>Shenzhen Huayuan Biological Science Research Institute, Shenzhen Huayuan Biotechnology Co., Ltd., 601 Building C1, Guangming Science Park, Fenghuang Street, Shenzhen 518000, Guangdong Province, People's Republic of China.</w:t>
      </w:r>
    </w:p>
    <w:p w:rsidR="00020693" w:rsidRPr="00C13989" w:rsidRDefault="00020693" w:rsidP="0093306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sz w:val="24"/>
          <w:szCs w:val="24"/>
          <w:lang w:val="en-US"/>
        </w:rPr>
        <w:t>Center for Molecular Medicine and Genetics, Wayne State University, Detroit, Michigan 48201, USA.</w:t>
      </w:r>
    </w:p>
    <w:p w:rsidR="008F692C" w:rsidRPr="00C13989" w:rsidRDefault="008F692C" w:rsidP="008F692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b/>
          <w:sz w:val="24"/>
          <w:szCs w:val="24"/>
          <w:lang w:val="en-US"/>
        </w:rPr>
        <w:t>Introduction: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64E578CE" w:rsidRPr="00C13989">
        <w:rPr>
          <w:rFonts w:ascii="Times New Roman" w:hAnsi="Times New Roman" w:cs="Times New Roman"/>
          <w:sz w:val="24"/>
          <w:szCs w:val="24"/>
          <w:lang w:val="en-US"/>
        </w:rPr>
        <w:t>According to WHO, around 8-13% of women of reproductive age suffer from polycystic ovary syndrome (PCOS)</w:t>
      </w:r>
      <w:proofErr w:type="gramStart"/>
      <w:r w:rsidR="64E578CE" w:rsidRPr="00C13989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64E578CE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while up to 70% of women worldwide with PCOS remain undiagnosed. PCOS is the most common cause of anovulation and the main cause of infertility.</w:t>
      </w:r>
      <w:r w:rsidR="75CD9153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8F1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Previously, scientists have observed a large number of ncRNAs with altered levels in the plasma, serum or other </w:t>
      </w:r>
      <w:r w:rsidRPr="00C13989">
        <w:rPr>
          <w:rFonts w:ascii="Times New Roman" w:hAnsi="Times New Roman" w:cs="Times New Roman"/>
          <w:sz w:val="24"/>
          <w:szCs w:val="24"/>
          <w:lang w:val="en-GB"/>
        </w:rPr>
        <w:t>specimens</w:t>
      </w:r>
      <w:r w:rsidR="002A28F1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2A28F1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patients with PCOS (</w:t>
      </w:r>
      <w:r w:rsidR="005D0B34" w:rsidRPr="00C13989">
        <w:rPr>
          <w:rFonts w:ascii="Times New Roman" w:hAnsi="Times New Roman" w:cs="Times New Roman"/>
          <w:sz w:val="24"/>
          <w:szCs w:val="24"/>
          <w:lang w:val="en-US"/>
        </w:rPr>
        <w:t>Han, J., e.a., 2019; Liangshan Mu, e.a., 2021;</w:t>
      </w:r>
      <w:r w:rsidR="00F05D52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D52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ElMonier, A. A., 2023)</w:t>
      </w:r>
      <w:r w:rsidR="002A28F1" w:rsidRPr="00C13989">
        <w:rPr>
          <w:rFonts w:ascii="Times New Roman" w:hAnsi="Times New Roman" w:cs="Times New Roman"/>
          <w:sz w:val="24"/>
          <w:szCs w:val="24"/>
          <w:lang w:val="en-US"/>
        </w:rPr>
        <w:t>. LncRNAs have been identified that regulate the response of androgen, estrogen and progesterone receptors, suggesting that lncRNAs play a role in the hormone regulatory system in PCOS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(Zhao X, e.a.,</w:t>
      </w:r>
      <w:r w:rsidR="005D0B34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2004</w:t>
      </w:r>
      <w:r w:rsidR="00F05D52" w:rsidRPr="00C13989">
        <w:rPr>
          <w:rFonts w:ascii="Times New Roman" w:hAnsi="Times New Roman" w:cs="Times New Roman"/>
          <w:sz w:val="24"/>
          <w:szCs w:val="24"/>
          <w:lang w:val="en-US"/>
        </w:rPr>
        <w:t>; Nabi, M.</w:t>
      </w:r>
      <w:proofErr w:type="gramStart"/>
      <w:r w:rsidR="00F05D52" w:rsidRPr="00C13989">
        <w:rPr>
          <w:rFonts w:ascii="Times New Roman" w:hAnsi="Times New Roman" w:cs="Times New Roman"/>
          <w:sz w:val="24"/>
          <w:szCs w:val="24"/>
          <w:lang w:val="en-US"/>
        </w:rPr>
        <w:t>,e.a</w:t>
      </w:r>
      <w:proofErr w:type="gramEnd"/>
      <w:r w:rsidR="00F05D52" w:rsidRPr="00C13989">
        <w:rPr>
          <w:rFonts w:ascii="Times New Roman" w:hAnsi="Times New Roman" w:cs="Times New Roman"/>
          <w:sz w:val="24"/>
          <w:szCs w:val="24"/>
          <w:lang w:val="en-US"/>
        </w:rPr>
        <w:t>.,2023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A28F1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75CD9153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One of the reasons </w:t>
      </w:r>
      <w:r w:rsidR="002A28F1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for impaired </w:t>
      </w:r>
      <w:r w:rsidR="75CD9153" w:rsidRPr="00C13989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552003EC" w:rsidRPr="00C13989">
        <w:rPr>
          <w:rFonts w:ascii="Times New Roman" w:hAnsi="Times New Roman" w:cs="Times New Roman"/>
          <w:sz w:val="24"/>
          <w:szCs w:val="24"/>
          <w:lang w:val="en-US"/>
        </w:rPr>
        <w:t>pression of reporte</w:t>
      </w:r>
      <w:r w:rsidR="19A74D60" w:rsidRPr="00C1398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552003EC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genes </w:t>
      </w:r>
      <w:r w:rsidR="78CD4886" w:rsidRPr="00C13989">
        <w:rPr>
          <w:rFonts w:ascii="Times New Roman" w:hAnsi="Times New Roman" w:cs="Times New Roman"/>
          <w:sz w:val="24"/>
          <w:szCs w:val="24"/>
          <w:lang w:val="en-US"/>
        </w:rPr>
        <w:t>could be</w:t>
      </w:r>
      <w:r w:rsidR="4A831F04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SNP </w:t>
      </w:r>
      <w:r w:rsidR="0B0F5F52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alleles of </w:t>
      </w:r>
      <w:r w:rsidR="005A7CA1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lncRNA </w:t>
      </w:r>
      <w:r w:rsidR="0B0F5F52" w:rsidRPr="00C13989">
        <w:rPr>
          <w:rFonts w:ascii="Times New Roman" w:hAnsi="Times New Roman" w:cs="Times New Roman"/>
          <w:sz w:val="24"/>
          <w:szCs w:val="24"/>
          <w:lang w:val="en-US"/>
        </w:rPr>
        <w:t>genes</w:t>
      </w:r>
      <w:r w:rsidR="005D0B34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(Ali, R. M., e.a. 2022</w:t>
      </w:r>
      <w:r w:rsidR="00D013AB" w:rsidRPr="00C13989">
        <w:rPr>
          <w:rFonts w:ascii="Times New Roman" w:hAnsi="Times New Roman" w:cs="Times New Roman"/>
          <w:sz w:val="24"/>
          <w:szCs w:val="24"/>
          <w:lang w:val="en-US"/>
        </w:rPr>
        <w:t>; Gonzalez-Moro, I.</w:t>
      </w:r>
      <w:proofErr w:type="gramStart"/>
      <w:r w:rsidR="00D013AB" w:rsidRPr="00C13989">
        <w:rPr>
          <w:rFonts w:ascii="Times New Roman" w:hAnsi="Times New Roman" w:cs="Times New Roman"/>
          <w:sz w:val="24"/>
          <w:szCs w:val="24"/>
          <w:lang w:val="en-US"/>
        </w:rPr>
        <w:t>,2023</w:t>
      </w:r>
      <w:proofErr w:type="gramEnd"/>
      <w:r w:rsidR="00515242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5242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Li, Y. K.,2023</w:t>
      </w:r>
      <w:r w:rsidR="005D0B34" w:rsidRPr="00C1398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B0F5F52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64E578CE" w:rsidRPr="00C13989" w:rsidRDefault="008F692C" w:rsidP="008F692C">
      <w:pPr>
        <w:ind w:firstLine="360"/>
        <w:jc w:val="both"/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b/>
          <w:sz w:val="24"/>
          <w:szCs w:val="24"/>
          <w:lang w:val="en-US"/>
        </w:rPr>
        <w:t>Methods: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B0F5F52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68289E11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testing this hypothesis, we </w:t>
      </w:r>
      <w:r w:rsidR="00C4B666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examined 10 </w:t>
      </w:r>
      <w:r w:rsidR="002A28F1" w:rsidRPr="00C13989">
        <w:rPr>
          <w:rFonts w:ascii="Times New Roman" w:hAnsi="Times New Roman" w:cs="Times New Roman"/>
          <w:sz w:val="24"/>
          <w:szCs w:val="24"/>
          <w:lang w:val="en-US"/>
        </w:rPr>
        <w:t>Genome-Wide A</w:t>
      </w:r>
      <w:r w:rsidR="393AC633" w:rsidRPr="00C13989">
        <w:rPr>
          <w:rFonts w:ascii="Times New Roman" w:hAnsi="Times New Roman" w:cs="Times New Roman"/>
          <w:sz w:val="24"/>
          <w:szCs w:val="24"/>
          <w:lang w:val="en-US"/>
        </w:rPr>
        <w:t>ssoci</w:t>
      </w:r>
      <w:r w:rsidR="002A28F1" w:rsidRPr="00C13989">
        <w:rPr>
          <w:rFonts w:ascii="Times New Roman" w:hAnsi="Times New Roman" w:cs="Times New Roman"/>
          <w:sz w:val="24"/>
          <w:szCs w:val="24"/>
          <w:lang w:val="en-US"/>
        </w:rPr>
        <w:t>ation S</w:t>
      </w:r>
      <w:r w:rsidR="393AC633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tudies </w:t>
      </w:r>
      <w:r w:rsidR="6C991BB3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comprising </w:t>
      </w:r>
      <w:r w:rsidR="5FCBEEEB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a total of </w:t>
      </w:r>
      <w:r w:rsidR="3C4A8D13" w:rsidRPr="00C13989">
        <w:rPr>
          <w:rFonts w:ascii="Times New Roman" w:hAnsi="Times New Roman" w:cs="Times New Roman"/>
          <w:sz w:val="24"/>
          <w:szCs w:val="24"/>
          <w:lang w:val="en-US"/>
        </w:rPr>
        <w:t>48</w:t>
      </w:r>
      <w:r w:rsidR="6D3BC82F" w:rsidRPr="00C1398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3C4A8D13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81 cases and 837947 controls from </w:t>
      </w:r>
      <w:r w:rsidR="00AC7878" w:rsidRPr="00C13989">
        <w:rPr>
          <w:rFonts w:ascii="Times New Roman" w:hAnsi="Times New Roman" w:cs="Times New Roman"/>
          <w:sz w:val="24"/>
          <w:szCs w:val="24"/>
          <w:lang w:val="en-US"/>
        </w:rPr>
        <w:t>four populations: European</w:t>
      </w:r>
      <w:r w:rsidR="25657204" w:rsidRPr="00C13989">
        <w:rPr>
          <w:rFonts w:ascii="Times New Roman" w:hAnsi="Times New Roman" w:cs="Times New Roman"/>
          <w:sz w:val="24"/>
          <w:szCs w:val="24"/>
          <w:lang w:val="en-US"/>
        </w:rPr>
        <w:t>, Chinese, African</w:t>
      </w:r>
      <w:r w:rsidR="51104CF0" w:rsidRPr="00C1398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25657204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American</w:t>
      </w:r>
      <w:r w:rsidR="00C81659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3989">
        <w:rPr>
          <w:rFonts w:ascii="Times New Roman" w:hAnsi="Times New Roman" w:cs="Times New Roman"/>
          <w:sz w:val="24"/>
          <w:szCs w:val="24"/>
          <w:lang w:val="en-US"/>
        </w:rPr>
        <w:t>(https://www.ebi.ac.uk/gwas/efotraits/EFO_0000660)</w:t>
      </w:r>
      <w:r w:rsidR="003F0382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456C3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From these GWA studies we obtained </w:t>
      </w:r>
      <w:r w:rsidR="7AF42DB1" w:rsidRPr="00C1398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41433148" w:rsidRPr="00C1398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7AF42DB1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 significant SNPs </w:t>
      </w:r>
      <w:r w:rsidR="5B8B73D3" w:rsidRPr="00C1398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7AF42DB1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C456C3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11 lncRNA </w:t>
      </w:r>
      <w:r w:rsidR="03433430" w:rsidRPr="00C13989">
        <w:rPr>
          <w:rFonts w:ascii="Times New Roman" w:hAnsi="Times New Roman" w:cs="Times New Roman"/>
          <w:sz w:val="24"/>
          <w:szCs w:val="24"/>
          <w:lang w:val="en-US"/>
        </w:rPr>
        <w:t xml:space="preserve">mapped </w:t>
      </w:r>
      <w:r w:rsidR="00C456C3" w:rsidRPr="00C13989">
        <w:rPr>
          <w:rFonts w:ascii="Times New Roman" w:hAnsi="Times New Roman" w:cs="Times New Roman"/>
          <w:sz w:val="24"/>
          <w:szCs w:val="24"/>
          <w:lang w:val="en-US"/>
        </w:rPr>
        <w:t>genes</w:t>
      </w:r>
      <w:r w:rsidR="784C6934" w:rsidRPr="00C1398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784C6934" w:rsidRPr="00C1398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784C6934" w:rsidRPr="00C1398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 xml:space="preserve">ARL14EP-DT, CASC22, IRF1-AS1, </w:t>
      </w:r>
      <w:r w:rsidR="1ECDE9BE" w:rsidRPr="00C1398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 xml:space="preserve">KAZN-AS1, LINC01060, LINC01229, LINC01826, LINC02055, LINC02529, MAFTRR, </w:t>
      </w:r>
      <w:proofErr w:type="gramStart"/>
      <w:r w:rsidR="1ECDE9BE" w:rsidRPr="00C1398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SSTR5</w:t>
      </w:r>
      <w:proofErr w:type="gramEnd"/>
      <w:r w:rsidR="1ECDE9BE" w:rsidRPr="00C1398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-AS1.</w:t>
      </w:r>
      <w:r w:rsidR="77E8E26E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12EF0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Then we explored the gene expression of abovementioned lncRNA genes in NCBI Gene database (https://www.ncbi.nlm.nih.gov/gene). </w:t>
      </w:r>
    </w:p>
    <w:p w:rsidR="008F692C" w:rsidRDefault="008F692C" w:rsidP="00711923">
      <w:pPr>
        <w:ind w:firstLine="36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C1398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Results:</w:t>
      </w:r>
      <w:r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55C28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The table shows the </w:t>
      </w:r>
      <w:r w:rsidR="005D5DA2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allele </w:t>
      </w:r>
      <w:r w:rsidR="004E43B2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frequences</w:t>
      </w:r>
      <w:r w:rsidR="005D5DA2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55C28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of 17 significant polymorphic loci associated with PCOS in various populations of the world (according to the 3rd phase of the 1000 Genomes project).</w:t>
      </w:r>
    </w:p>
    <w:p w:rsidR="00D11854" w:rsidRPr="00711923" w:rsidRDefault="00D11854" w:rsidP="00711923">
      <w:pPr>
        <w:ind w:firstLine="36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</w:p>
    <w:p w:rsidR="00D11854" w:rsidRDefault="00D11854" w:rsidP="00FE1795">
      <w:pPr>
        <w:jc w:val="right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:rsidR="00D11854" w:rsidRDefault="00D11854" w:rsidP="00FE1795">
      <w:pPr>
        <w:jc w:val="right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:rsidR="00D11854" w:rsidRDefault="00D11854" w:rsidP="00FE1795">
      <w:pPr>
        <w:jc w:val="right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:rsidR="00D11854" w:rsidRDefault="00D11854" w:rsidP="00FE1795">
      <w:pPr>
        <w:jc w:val="right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:rsidR="00D11854" w:rsidRDefault="00D11854" w:rsidP="00FE1795">
      <w:pPr>
        <w:jc w:val="right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:rsidR="00FE1795" w:rsidRPr="00EE4D3F" w:rsidRDefault="005D5DA2" w:rsidP="00D95478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lastRenderedPageBreak/>
        <w:t xml:space="preserve">The </w:t>
      </w:r>
      <w:r w:rsidR="00F7481D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frequenc</w:t>
      </w:r>
      <w:r w:rsid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i</w:t>
      </w:r>
      <w:r w:rsidR="00F7481D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es</w:t>
      </w:r>
      <w:r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of polymorphic loci of long non-coding RNAs associated with PCOS in v</w:t>
      </w:r>
      <w:r w:rsidR="004F71C4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arious populations of the world </w:t>
      </w:r>
      <w:r w:rsidR="00EC5B2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according to T</w:t>
      </w:r>
      <w:r w:rsidR="00FD5AC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he </w:t>
      </w:r>
      <w:r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1000 </w:t>
      </w:r>
      <w:r w:rsidR="00FD5AC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Genomes</w:t>
      </w:r>
      <w:r w:rsidR="00B864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P</w:t>
      </w:r>
      <w:r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roject</w:t>
      </w:r>
      <w:r w:rsidR="00D76A12" w:rsidRPr="00C1398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.</w:t>
      </w:r>
    </w:p>
    <w:tbl>
      <w:tblPr>
        <w:tblStyle w:val="a3"/>
        <w:tblW w:w="0" w:type="auto"/>
        <w:tblLayout w:type="fixed"/>
        <w:tblLook w:val="06A0"/>
      </w:tblPr>
      <w:tblGrid>
        <w:gridCol w:w="1740"/>
        <w:gridCol w:w="1553"/>
        <w:gridCol w:w="1485"/>
        <w:gridCol w:w="1210"/>
        <w:gridCol w:w="1513"/>
        <w:gridCol w:w="1513"/>
      </w:tblGrid>
      <w:tr w:rsidR="5D5F2E33" w:rsidRPr="00BD2BE3" w:rsidTr="5D5F2E33">
        <w:trPr>
          <w:trHeight w:val="300"/>
        </w:trPr>
        <w:tc>
          <w:tcPr>
            <w:tcW w:w="1740" w:type="dxa"/>
          </w:tcPr>
          <w:p w:rsidR="6AC9AF70" w:rsidRPr="009F766A" w:rsidRDefault="6AC9AF70" w:rsidP="00D76A12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SNP and its a</w:t>
            </w:r>
            <w:r w:rsidR="7A0E2E1D"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llele</w:t>
            </w:r>
          </w:p>
        </w:tc>
        <w:tc>
          <w:tcPr>
            <w:tcW w:w="1553" w:type="dxa"/>
          </w:tcPr>
          <w:p w:rsidR="68B6BB3A" w:rsidRDefault="68B6BB3A" w:rsidP="00D76A12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Mapped gene</w:t>
            </w:r>
          </w:p>
          <w:p w:rsidR="00B63DF5" w:rsidRPr="009F766A" w:rsidRDefault="00B63DF5" w:rsidP="00D76A12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(</w:t>
            </w:r>
            <w:r w:rsidR="009C1645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Reference assembly: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hg38)</w:t>
            </w:r>
          </w:p>
        </w:tc>
        <w:tc>
          <w:tcPr>
            <w:tcW w:w="1485" w:type="dxa"/>
          </w:tcPr>
          <w:p w:rsidR="0C907747" w:rsidRPr="009F766A" w:rsidRDefault="0C907747" w:rsidP="00D76A12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Allele frequency in </w:t>
            </w:r>
            <w:r w:rsidR="69F75E37"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African </w:t>
            </w:r>
            <w:r w:rsidR="04E6271C"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population</w:t>
            </w:r>
          </w:p>
        </w:tc>
        <w:tc>
          <w:tcPr>
            <w:tcW w:w="1210" w:type="dxa"/>
          </w:tcPr>
          <w:p w:rsidR="12F70DAB" w:rsidRPr="009F766A" w:rsidRDefault="12F70DAB" w:rsidP="00D76A12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Allele frequency in </w:t>
            </w:r>
            <w:r w:rsidR="1DFE8C5D"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American </w:t>
            </w:r>
            <w:r w:rsidR="550E9954"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7D3093F7"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population</w:t>
            </w:r>
          </w:p>
        </w:tc>
        <w:tc>
          <w:tcPr>
            <w:tcW w:w="1513" w:type="dxa"/>
          </w:tcPr>
          <w:p w:rsidR="066B899F" w:rsidRPr="009F766A" w:rsidRDefault="066B899F" w:rsidP="00D76A12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Allele frequency in </w:t>
            </w:r>
            <w:r w:rsidR="2235AD05"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East Asian </w:t>
            </w:r>
            <w:r w:rsidR="2A2675BB"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population</w:t>
            </w:r>
          </w:p>
        </w:tc>
        <w:tc>
          <w:tcPr>
            <w:tcW w:w="1513" w:type="dxa"/>
          </w:tcPr>
          <w:p w:rsidR="6FF2CAE7" w:rsidRPr="009F766A" w:rsidRDefault="6FF2CAE7" w:rsidP="00D76A12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Allele frequency in </w:t>
            </w:r>
            <w:r w:rsidR="7808714F"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European </w:t>
            </w:r>
            <w:r w:rsidR="5D158418" w:rsidRPr="009F766A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population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rs10835638-T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ARL14EP-DT</w:t>
            </w:r>
          </w:p>
        </w:tc>
        <w:tc>
          <w:tcPr>
            <w:tcW w:w="1485" w:type="dxa"/>
          </w:tcPr>
          <w:p w:rsidR="4F74CBBF" w:rsidRPr="009F766A" w:rsidRDefault="4F74CBBF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0.047</w:t>
            </w:r>
          </w:p>
        </w:tc>
        <w:tc>
          <w:tcPr>
            <w:tcW w:w="1210" w:type="dxa"/>
          </w:tcPr>
          <w:p w:rsidR="4F74CBBF" w:rsidRPr="009F766A" w:rsidRDefault="4F74CBBF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0.117</w:t>
            </w:r>
          </w:p>
        </w:tc>
        <w:tc>
          <w:tcPr>
            <w:tcW w:w="1513" w:type="dxa"/>
          </w:tcPr>
          <w:p w:rsidR="4F74CBBF" w:rsidRPr="009F766A" w:rsidRDefault="4F74CBBF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0.032</w:t>
            </w:r>
          </w:p>
        </w:tc>
        <w:tc>
          <w:tcPr>
            <w:tcW w:w="1513" w:type="dxa"/>
          </w:tcPr>
          <w:p w:rsidR="4F74CBBF" w:rsidRPr="009F766A" w:rsidRDefault="4F74CBBF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0.143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rs11031002-A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ARL14EP-DT</w:t>
            </w:r>
          </w:p>
        </w:tc>
        <w:tc>
          <w:tcPr>
            <w:tcW w:w="1485" w:type="dxa"/>
          </w:tcPr>
          <w:p w:rsidR="0DC9B49E" w:rsidRPr="009F766A" w:rsidRDefault="0DC9B49E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0.045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</w:tcPr>
          <w:p w:rsidR="0DC9B49E" w:rsidRPr="009F766A" w:rsidRDefault="0DC9B49E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0.095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0DC9B49E" w:rsidRPr="009F766A" w:rsidRDefault="0DC9B49E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0.031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0DC9B49E" w:rsidRPr="009F766A" w:rsidRDefault="0DC9B49E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0.121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rs11031005-T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ARL14EP-DT</w:t>
            </w:r>
          </w:p>
        </w:tc>
        <w:tc>
          <w:tcPr>
            <w:tcW w:w="1485" w:type="dxa"/>
          </w:tcPr>
          <w:p w:rsidR="06E2D3B5" w:rsidRPr="009F766A" w:rsidRDefault="06E2D3B5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0.983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</w:tcPr>
          <w:p w:rsidR="06E2D3B5" w:rsidRPr="009F766A" w:rsidRDefault="06E2D3B5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0.906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06E2D3B5" w:rsidRPr="009F766A" w:rsidRDefault="06E2D3B5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0.969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06E2D3B5" w:rsidRPr="009F766A" w:rsidRDefault="06E2D3B5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0.860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rs11031006-</w:t>
            </w:r>
            <w:r w:rsidR="59EC4BA7"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ARL14EP-DT</w:t>
            </w:r>
          </w:p>
        </w:tc>
        <w:tc>
          <w:tcPr>
            <w:tcW w:w="1485" w:type="dxa"/>
          </w:tcPr>
          <w:p w:rsidR="46BA513E" w:rsidRPr="009F766A" w:rsidRDefault="46BA513E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0.047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</w:tcPr>
          <w:p w:rsidR="46BA513E" w:rsidRPr="009F766A" w:rsidRDefault="46BA513E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0.097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46BA513E" w:rsidRPr="009F766A" w:rsidRDefault="46BA513E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0.032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46BA513E" w:rsidRPr="009F766A" w:rsidRDefault="46BA513E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0.141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rs4784165-G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CASC22</w:t>
            </w:r>
          </w:p>
        </w:tc>
        <w:tc>
          <w:tcPr>
            <w:tcW w:w="1485" w:type="dxa"/>
          </w:tcPr>
          <w:p w:rsidR="3255BE7D" w:rsidRPr="009F766A" w:rsidRDefault="3255BE7D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0.435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</w:tcPr>
          <w:p w:rsidR="3255BE7D" w:rsidRPr="009F766A" w:rsidRDefault="3255BE7D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0.330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3255BE7D" w:rsidRPr="009F766A" w:rsidRDefault="3255BE7D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0.359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3255BE7D" w:rsidRPr="009F766A" w:rsidRDefault="3255BE7D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0.260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rs8043701-A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CASC22</w:t>
            </w:r>
          </w:p>
        </w:tc>
        <w:tc>
          <w:tcPr>
            <w:tcW w:w="1485" w:type="dxa"/>
          </w:tcPr>
          <w:p w:rsidR="786F5C08" w:rsidRPr="009F766A" w:rsidRDefault="786F5C0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0.795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</w:tcPr>
          <w:p w:rsidR="786F5C08" w:rsidRPr="009F766A" w:rsidRDefault="786F5C0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0.705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786F5C08" w:rsidRPr="009F766A" w:rsidRDefault="786F5C0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0.674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786F5C08" w:rsidRPr="009F766A" w:rsidRDefault="786F5C0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0.813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rs13164856-T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IRF1-AS1</w:t>
            </w:r>
          </w:p>
        </w:tc>
        <w:tc>
          <w:tcPr>
            <w:tcW w:w="1485" w:type="dxa"/>
          </w:tcPr>
          <w:p w:rsidR="6F794768" w:rsidRPr="009F766A" w:rsidRDefault="6F794768" w:rsidP="5D5F2E3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>0.626</w:t>
            </w:r>
          </w:p>
        </w:tc>
        <w:tc>
          <w:tcPr>
            <w:tcW w:w="1210" w:type="dxa"/>
          </w:tcPr>
          <w:p w:rsidR="4A54A8F2" w:rsidRPr="009F766A" w:rsidRDefault="4A54A8F2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0.687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4A54A8F2" w:rsidRPr="009F766A" w:rsidRDefault="4A54A8F2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0.616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4A54A8F2" w:rsidRPr="009F766A" w:rsidRDefault="4A54A8F2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0.704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3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rs78025940-A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KAZN-AS1</w:t>
            </w:r>
          </w:p>
        </w:tc>
        <w:tc>
          <w:tcPr>
            <w:tcW w:w="1485" w:type="dxa"/>
          </w:tcPr>
          <w:p w:rsidR="47A9C7AC" w:rsidRPr="009F766A" w:rsidRDefault="47A9C7AC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489ED3AC"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210" w:type="dxa"/>
          </w:tcPr>
          <w:p w:rsidR="47A9C7AC" w:rsidRPr="009F766A" w:rsidRDefault="47A9C7AC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0.016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47A9C7AC" w:rsidRPr="009F766A" w:rsidRDefault="47A9C7AC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0.087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47A9C7AC" w:rsidRPr="009F766A" w:rsidRDefault="47A9C7AC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0.023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rs7666129-A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LINC01060</w:t>
            </w:r>
          </w:p>
        </w:tc>
        <w:tc>
          <w:tcPr>
            <w:tcW w:w="1485" w:type="dxa"/>
          </w:tcPr>
          <w:p w:rsidR="1039EFA3" w:rsidRPr="009F766A" w:rsidRDefault="1039EFA3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10" w:type="dxa"/>
          </w:tcPr>
          <w:p w:rsidR="1039EFA3" w:rsidRPr="009F766A" w:rsidRDefault="1039EFA3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513" w:type="dxa"/>
          </w:tcPr>
          <w:p w:rsidR="1039EFA3" w:rsidRPr="009F766A" w:rsidRDefault="1039EFA3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513" w:type="dxa"/>
          </w:tcPr>
          <w:p w:rsidR="1039EFA3" w:rsidRPr="009F766A" w:rsidRDefault="1039EFA3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rs3813583-A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LINC01229</w:t>
            </w:r>
          </w:p>
        </w:tc>
        <w:tc>
          <w:tcPr>
            <w:tcW w:w="1485" w:type="dxa"/>
          </w:tcPr>
          <w:p w:rsidR="4C07DBA8" w:rsidRPr="009F766A" w:rsidRDefault="4C07DBA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0.536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</w:tcPr>
          <w:p w:rsidR="4C07DBA8" w:rsidRPr="009F766A" w:rsidRDefault="4C07DBA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0.576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4C07DBA8" w:rsidRPr="009F766A" w:rsidRDefault="4C07DBA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0.715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4C07DBA8" w:rsidRPr="009F766A" w:rsidRDefault="4C07DBA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0.626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rs7574059-C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LINC01826</w:t>
            </w:r>
          </w:p>
        </w:tc>
        <w:tc>
          <w:tcPr>
            <w:tcW w:w="1485" w:type="dxa"/>
          </w:tcPr>
          <w:p w:rsidR="35C72040" w:rsidRPr="009F766A" w:rsidRDefault="35C72040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0.885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</w:tcPr>
          <w:p w:rsidR="35C72040" w:rsidRPr="009F766A" w:rsidRDefault="35C72040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0.653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35C72040" w:rsidRPr="009F766A" w:rsidRDefault="35C72040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0.617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35C72040" w:rsidRPr="009F766A" w:rsidRDefault="35C72040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0.624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rs10505648-A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LINC02055</w:t>
            </w:r>
          </w:p>
        </w:tc>
        <w:tc>
          <w:tcPr>
            <w:tcW w:w="1485" w:type="dxa"/>
          </w:tcPr>
          <w:p w:rsidR="534E9FF3" w:rsidRPr="009F766A" w:rsidRDefault="534E9FF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0.723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</w:tcPr>
          <w:p w:rsidR="534E9FF3" w:rsidRPr="009F766A" w:rsidRDefault="534E9FF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0.640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534E9FF3" w:rsidRPr="009F766A" w:rsidRDefault="534E9FF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0.914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534E9FF3" w:rsidRPr="009F766A" w:rsidRDefault="534E9FF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0.484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rs17186366-C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LINC02529</w:t>
            </w:r>
          </w:p>
        </w:tc>
        <w:tc>
          <w:tcPr>
            <w:tcW w:w="1485" w:type="dxa"/>
          </w:tcPr>
          <w:p w:rsidR="4B3307D8" w:rsidRPr="009F766A" w:rsidRDefault="4B3307D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0.022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</w:tcPr>
          <w:p w:rsidR="4B3307D8" w:rsidRPr="009F766A" w:rsidRDefault="4B3307D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0.042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4B3307D8" w:rsidRPr="009F766A" w:rsidRDefault="4B3307D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0.056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4B3307D8" w:rsidRPr="009F766A" w:rsidRDefault="4B3307D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0.111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rs3813583-A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MAFTRR</w:t>
            </w:r>
          </w:p>
        </w:tc>
        <w:tc>
          <w:tcPr>
            <w:tcW w:w="1485" w:type="dxa"/>
          </w:tcPr>
          <w:p w:rsidR="567ACE98" w:rsidRPr="009F766A" w:rsidRDefault="567ACE98" w:rsidP="5D5F2E3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>0.536</w:t>
            </w:r>
          </w:p>
        </w:tc>
        <w:tc>
          <w:tcPr>
            <w:tcW w:w="1210" w:type="dxa"/>
          </w:tcPr>
          <w:p w:rsidR="567ACE98" w:rsidRPr="009F766A" w:rsidRDefault="567ACE9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0.576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567ACE98" w:rsidRPr="009F766A" w:rsidRDefault="567ACE9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0.715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</w:tcPr>
          <w:p w:rsidR="567ACE98" w:rsidRPr="009F766A" w:rsidRDefault="567ACE98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Helvetica" w:hAnsi="Times New Roman" w:cs="Times New Roman"/>
                <w:bCs/>
                <w:color w:val="333333"/>
                <w:sz w:val="20"/>
                <w:szCs w:val="20"/>
              </w:rPr>
              <w:t xml:space="preserve">0.626 </w:t>
            </w:r>
            <w:r w:rsidRPr="009F766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D5F2E33" w:rsidRPr="009F766A" w:rsidTr="5D5F2E33">
        <w:trPr>
          <w:trHeight w:val="300"/>
        </w:trPr>
        <w:tc>
          <w:tcPr>
            <w:tcW w:w="1740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rs500492-A</w:t>
            </w:r>
          </w:p>
        </w:tc>
        <w:tc>
          <w:tcPr>
            <w:tcW w:w="1553" w:type="dxa"/>
          </w:tcPr>
          <w:p w:rsidR="5D5F2E33" w:rsidRPr="009F766A" w:rsidRDefault="5D5F2E33" w:rsidP="5D5F2E3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766A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>SSTR5-AS1</w:t>
            </w:r>
          </w:p>
        </w:tc>
        <w:tc>
          <w:tcPr>
            <w:tcW w:w="1485" w:type="dxa"/>
          </w:tcPr>
          <w:p w:rsidR="2DF1DF3C" w:rsidRPr="009F766A" w:rsidRDefault="2DF1DF3C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10" w:type="dxa"/>
          </w:tcPr>
          <w:p w:rsidR="2DF1DF3C" w:rsidRPr="009F766A" w:rsidRDefault="2DF1DF3C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513" w:type="dxa"/>
          </w:tcPr>
          <w:p w:rsidR="2DF1DF3C" w:rsidRPr="009F766A" w:rsidRDefault="2DF1DF3C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513" w:type="dxa"/>
          </w:tcPr>
          <w:p w:rsidR="2DF1DF3C" w:rsidRPr="009F766A" w:rsidRDefault="2DF1DF3C" w:rsidP="5D5F2E33">
            <w:pP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F766A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</w:tr>
    </w:tbl>
    <w:p w:rsidR="00BE0319" w:rsidRDefault="00BE0319" w:rsidP="00BD2BE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:rsidR="27F14645" w:rsidRPr="00EE4D3F" w:rsidRDefault="006964E9" w:rsidP="001971A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As can be seen from the table, significant polymorphic loci of lncRNAs have low</w:t>
      </w:r>
      <w:r w:rsidR="00D143E3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allele</w:t>
      </w:r>
      <w:r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frequency values for almost all SNPs in </w:t>
      </w:r>
      <w:r w:rsidRPr="00EE4D3F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en-GB"/>
        </w:rPr>
        <w:t xml:space="preserve">ARL14EP-DT </w:t>
      </w:r>
      <w:r w:rsidRPr="00CD56B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gene</w:t>
      </w:r>
      <w:r w:rsidRPr="00EE4D3F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Pr="00CD56B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(except</w:t>
      </w:r>
      <w:r w:rsidRPr="00EE4D3F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rs11031005-T)</w:t>
      </w:r>
      <w:r w:rsidR="003F39AB"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r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rs17186366-C</w:t>
      </w:r>
      <w:r w:rsidR="003F39AB"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in </w:t>
      </w:r>
      <w:r w:rsidRPr="00EE4D3F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en-GB"/>
        </w:rPr>
        <w:t>KAZN-AS1</w:t>
      </w:r>
      <w:r w:rsidR="003F39AB" w:rsidRPr="00EE4D3F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="003F39AB" w:rsidRPr="00CD56B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gene</w:t>
      </w:r>
      <w:r w:rsidR="003F39AB" w:rsidRPr="00EE4D3F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and rs78025940-</w:t>
      </w:r>
      <w:proofErr w:type="gramStart"/>
      <w:r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</w:t>
      </w:r>
      <w:proofErr w:type="gramEnd"/>
      <w:r w:rsidR="003F39AB"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in </w:t>
      </w:r>
      <w:r w:rsidRPr="00EE4D3F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en-GB"/>
        </w:rPr>
        <w:t xml:space="preserve">LINC02529 </w:t>
      </w:r>
      <w:r w:rsidRPr="00CD56B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gene</w:t>
      </w:r>
      <w:r w:rsidRPr="00EE4D3F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en-GB"/>
        </w:rPr>
        <w:t>.</w:t>
      </w:r>
      <w:r w:rsidR="001971AC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="001971AC" w:rsidRPr="001971A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Alle</w:t>
      </w:r>
      <w:r w:rsidR="001971A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les of other SNPs</w:t>
      </w:r>
      <w:r w:rsidR="000163F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in </w:t>
      </w:r>
      <w:r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lncRNAs genes </w:t>
      </w:r>
      <w:r w:rsidR="00D143E3"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are</w:t>
      </w:r>
      <w:r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quite</w:t>
      </w:r>
      <w:r w:rsidR="00D143E3"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7A043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widely</w:t>
      </w:r>
      <w:r w:rsidR="00D143E3" w:rsidRPr="00EE4D3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distributed:</w:t>
      </w:r>
      <w:r w:rsidR="007A043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T</w:t>
      </w:r>
      <w:r w:rsidR="27F14645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he frequencies of significant polymorphic loci var</w:t>
      </w:r>
      <w:r w:rsidR="582C0663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y</w:t>
      </w:r>
      <w:r w:rsidR="27F14645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A145E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r w:rsidR="005D162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26</w:t>
      </w:r>
      <w:r w:rsidR="27F14645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27F14645" w:rsidRPr="005D162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% (</w:t>
      </w:r>
      <w:r w:rsidR="005D162F" w:rsidRPr="005D16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rs4784165-G</w:t>
      </w:r>
      <w:r w:rsidR="005D162F" w:rsidRPr="005D162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194CE7E0" w:rsidRPr="005D162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="005D162F" w:rsidRPr="005D162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European</w:t>
      </w:r>
      <w:r w:rsidR="194CE7E0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population) to 98% (</w:t>
      </w:r>
      <w:r w:rsidR="52122FD9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rs11031005-T </w:t>
      </w:r>
      <w:r w:rsidR="5D653253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 African population</w:t>
      </w:r>
      <w:r w:rsidR="194CE7E0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</w:t>
      </w:r>
      <w:r w:rsidR="5031B302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  <w:r w:rsidR="00BD0E30" w:rsidRPr="00EE4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4D3F">
        <w:rPr>
          <w:rFonts w:ascii="Times New Roman" w:hAnsi="Times New Roman" w:cs="Times New Roman"/>
          <w:sz w:val="24"/>
          <w:szCs w:val="24"/>
          <w:lang w:val="en-US"/>
        </w:rPr>
        <w:t>Allele</w:t>
      </w:r>
      <w:r w:rsidR="00BD0E30" w:rsidRPr="00EE4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4D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42768" w:rsidRPr="00EE4D3F">
        <w:rPr>
          <w:rFonts w:ascii="Times New Roman" w:hAnsi="Times New Roman" w:cs="Times New Roman"/>
          <w:sz w:val="24"/>
          <w:szCs w:val="24"/>
          <w:lang w:val="en-US"/>
        </w:rPr>
        <w:t xml:space="preserve">requences </w:t>
      </w:r>
      <w:r w:rsidR="00642768" w:rsidRPr="00EE4D3F">
        <w:rPr>
          <w:rFonts w:ascii="Times New Roman" w:hAnsi="Times New Roman" w:cs="Times New Roman"/>
          <w:sz w:val="24"/>
          <w:szCs w:val="24"/>
          <w:lang w:val="en-GB"/>
        </w:rPr>
        <w:t>of the polymorphic locus rs7666129-</w:t>
      </w:r>
      <w:proofErr w:type="gramStart"/>
      <w:r w:rsidR="00642768" w:rsidRPr="00EE4D3F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642768" w:rsidRPr="00EE4D3F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642768" w:rsidRPr="00485A5E">
        <w:rPr>
          <w:rFonts w:ascii="Times New Roman" w:hAnsi="Times New Roman" w:cs="Times New Roman"/>
          <w:i/>
          <w:sz w:val="24"/>
          <w:szCs w:val="24"/>
          <w:lang w:val="en-GB"/>
        </w:rPr>
        <w:t>LINC01060</w:t>
      </w:r>
      <w:r w:rsidR="00642768" w:rsidRPr="00EE4D3F">
        <w:rPr>
          <w:rFonts w:ascii="Times New Roman" w:hAnsi="Times New Roman" w:cs="Times New Roman"/>
          <w:sz w:val="24"/>
          <w:szCs w:val="24"/>
          <w:lang w:val="en-GB"/>
        </w:rPr>
        <w:t xml:space="preserve"> gene and rs500492-A in </w:t>
      </w:r>
      <w:r w:rsidR="00642768" w:rsidRPr="00485A5E">
        <w:rPr>
          <w:rFonts w:ascii="Times New Roman" w:hAnsi="Times New Roman" w:cs="Times New Roman"/>
          <w:i/>
          <w:sz w:val="24"/>
          <w:szCs w:val="24"/>
          <w:lang w:val="en-GB"/>
        </w:rPr>
        <w:t>CCR5-AS1</w:t>
      </w:r>
      <w:r w:rsidR="00642768" w:rsidRPr="00EE4D3F">
        <w:rPr>
          <w:rFonts w:ascii="Times New Roman" w:hAnsi="Times New Roman" w:cs="Times New Roman"/>
          <w:sz w:val="24"/>
          <w:szCs w:val="24"/>
          <w:lang w:val="en-GB"/>
        </w:rPr>
        <w:t xml:space="preserve"> gene </w:t>
      </w:r>
      <w:r w:rsidR="00CA145E" w:rsidRPr="00EE4D3F">
        <w:rPr>
          <w:rFonts w:ascii="Times New Roman" w:hAnsi="Times New Roman" w:cs="Times New Roman"/>
          <w:sz w:val="24"/>
          <w:szCs w:val="24"/>
          <w:lang w:val="en-GB"/>
        </w:rPr>
        <w:t xml:space="preserve">are not available </w:t>
      </w:r>
      <w:r w:rsidR="00642768" w:rsidRPr="00EE4D3F">
        <w:rPr>
          <w:rFonts w:ascii="Times New Roman" w:hAnsi="Times New Roman" w:cs="Times New Roman"/>
          <w:sz w:val="24"/>
          <w:szCs w:val="24"/>
          <w:lang w:val="en-GB"/>
        </w:rPr>
        <w:t>for all studied populations.</w:t>
      </w:r>
    </w:p>
    <w:p w:rsidR="00300E66" w:rsidRPr="00EE4D3F" w:rsidRDefault="4D6969D6" w:rsidP="001971A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</w:pPr>
      <w:r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Next, we found out that 4 out of</w:t>
      </w:r>
      <w:r w:rsidR="008B6D07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11 lncRNAs genes are expressed</w:t>
      </w:r>
      <w:r w:rsidR="00773BE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exclusively</w:t>
      </w:r>
      <w:r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 testis, </w:t>
      </w:r>
      <w:r w:rsidR="00CA145E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according to</w:t>
      </w:r>
      <w:r w:rsidR="0DB0BF77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A145E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data from </w:t>
      </w:r>
      <w:r w:rsidR="00FE1795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Fagerberg L. et al.</w:t>
      </w:r>
      <w:r w:rsidR="00FF76D9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A145E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 NCBI Gene database</w:t>
      </w:r>
      <w:r w:rsidR="00FF76D9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(Fagerberg L. et al., 2014)</w:t>
      </w:r>
      <w:r w:rsidR="00A36F6F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FE1795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These genes are:  </w:t>
      </w:r>
      <w:r w:rsidR="00300E66" w:rsidRPr="00EE4D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CASC22</w:t>
      </w:r>
      <w:r w:rsidR="00300E66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(Cancer Susceptibility Candidate 22); </w:t>
      </w:r>
      <w:r w:rsidR="00300E66" w:rsidRPr="00EE4D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KAZN-AS1</w:t>
      </w:r>
      <w:r w:rsidR="00300E66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(KAZN antisense RNA 1); </w:t>
      </w:r>
      <w:r w:rsidR="00300E66" w:rsidRPr="00EE4D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LINC02529</w:t>
      </w:r>
      <w:r w:rsidR="00300E66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(long intergenic non-protein coding RNA 2529);</w:t>
      </w:r>
      <w:r w:rsidR="00300E66" w:rsidRPr="00EE4D3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 xml:space="preserve"> LINC01826</w:t>
      </w:r>
      <w:r w:rsidR="00300E66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(long intergenic non-protein coding RNA 1826)</w:t>
      </w:r>
      <w:r w:rsidR="00FE1795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F42167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40303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Expression of these genes in the ovary may contribute to the development of hyperandrogenemia associated with PCOS. </w:t>
      </w:r>
      <w:r w:rsidR="003F0382"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Such aberrant expression of these lncRNAs in PCOS may lead to aberrant steroidogenesis and could potentially be used as diagnostic biomarkers.</w:t>
      </w:r>
    </w:p>
    <w:p w:rsidR="003F0382" w:rsidRDefault="003F0382" w:rsidP="001971A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This study was funded by the Russian Science Foundation (RSF) grant № 23-15-00464</w:t>
      </w:r>
      <w:r w:rsidR="0037232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  <w:r w:rsidRPr="00EE4D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603557" w:rsidRPr="00603557" w:rsidRDefault="002F690C" w:rsidP="00F713DE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Keyw</w:t>
      </w:r>
      <w:r w:rsidR="00603557" w:rsidRPr="0060355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o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603557" w:rsidRPr="0060355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ds:</w:t>
      </w:r>
      <w:r w:rsidR="0060355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60355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PCOS, SNP, lncRNAs, GWAS Catalog,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1000 Genomes.</w:t>
      </w:r>
    </w:p>
    <w:p w:rsidR="00F71376" w:rsidRDefault="00F71376" w:rsidP="001F359E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3F0382" w:rsidRPr="00137174" w:rsidRDefault="00C03698" w:rsidP="001F359E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F</w:t>
      </w:r>
      <w:r w:rsidR="003F0382" w:rsidRPr="00EE4D3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References</w:t>
      </w:r>
    </w:p>
    <w:p w:rsidR="005D0B34" w:rsidRPr="008B35C0" w:rsidRDefault="005D0B34" w:rsidP="001971AC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8B35C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Ali, R. M., Shkurat, T. P., Alexandrova, A. A., Bugrimova, E. S., Lomteva, S. V., &amp; Ammar, M. N. (2022). Association of CYP17 gene polymorphism (rs743572) with polycystic ovary syndrome. Meta Gene, </w:t>
      </w:r>
      <w:r w:rsidR="00137174" w:rsidRPr="008B35C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https://doi.org/10.1016/j.mgene.2021.100996</w:t>
      </w:r>
      <w:r w:rsidRPr="008B35C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  <w:r w:rsidR="00137174" w:rsidRPr="008B35C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2022</w:t>
      </w:r>
    </w:p>
    <w:p w:rsidR="00137174" w:rsidRPr="008B35C0" w:rsidRDefault="00137174" w:rsidP="001971A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</w:pPr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>González-Moro, Itziar et al. “A long non-coding RNA that harbors a SNP associated with type 2 diabetes regulates the expression of </w:t>
      </w:r>
      <w:r w:rsidRPr="008B35C0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  <w:lang w:val="en-GB"/>
        </w:rPr>
        <w:t>TGM2</w:t>
      </w:r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> gene in pancreatic beta cells.” </w:t>
      </w:r>
      <w:r w:rsidRPr="008B35C0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  <w:lang w:val="en-GB"/>
        </w:rPr>
        <w:t>Frontiers in endocrinology</w:t>
      </w:r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> vol. 14 1101934. 7 Feb. 2023, doi:10.3389/fendo.2023.1101934</w:t>
      </w:r>
    </w:p>
    <w:p w:rsidR="00D86CE4" w:rsidRPr="008B35C0" w:rsidRDefault="00D86CE4" w:rsidP="001971A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</w:pPr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>ElMonier, Asmaa A et al. “LncRNA NEAT1 and MALAT1 are involved in polycystic ovary syndrome pathogenesis by functioning as competing endogenous RNAs to control the expression of PCOS-related target genes.” </w:t>
      </w:r>
      <w:r w:rsidRPr="008B35C0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  <w:lang w:val="en-GB"/>
        </w:rPr>
        <w:t>Non-coding RNA research</w:t>
      </w:r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> vol. 8</w:t>
      </w:r>
      <w:proofErr w:type="gramStart"/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>,2</w:t>
      </w:r>
      <w:proofErr w:type="gramEnd"/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 xml:space="preserve"> 263-271. 3 Mar. 2023, doi:10.1016/j.ncrna.2023.02.008</w:t>
      </w:r>
    </w:p>
    <w:p w:rsidR="00D013AB" w:rsidRPr="008B35C0" w:rsidRDefault="00D013AB" w:rsidP="001971AC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8B35C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Fagerberg L. et al. Analysis of the human tissue-specific expression by genome-wide integration of transcriptomics and antibody-based proteomics //Molecular &amp; cellular proteomics. – 2014. – Т. 13. – №. 2. – С. 397-406.</w:t>
      </w:r>
    </w:p>
    <w:p w:rsidR="00D86CE4" w:rsidRPr="008B35C0" w:rsidRDefault="00D013AB" w:rsidP="001971AC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8B35C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Han, J., Yu, Z., Chen, G., &amp; Wang, F. (2019). Roles of ncRNAs in Ovarian Dysfunction of Polycystic Ovary Syndro</w:t>
      </w:r>
      <w:r w:rsidR="00D86CE4" w:rsidRPr="008B35C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me. Polycystic Ovarian Syndrome, 2019. DOI: 10.5772/intechopen.88314</w:t>
      </w:r>
    </w:p>
    <w:p w:rsidR="008B35C0" w:rsidRPr="008B35C0" w:rsidRDefault="008B35C0" w:rsidP="001971A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</w:pPr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>Li, Yi-Kun et al. “Single</w:t>
      </w:r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noBreakHyphen/>
        <w:t>nucleotide polymorphism rs6592645 confers asthma risk through regulating </w:t>
      </w:r>
      <w:r w:rsidRPr="008B35C0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  <w:lang w:val="en-GB"/>
        </w:rPr>
        <w:t>LRRC32</w:t>
      </w:r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> expression.” </w:t>
      </w:r>
      <w:r w:rsidRPr="008B35C0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  <w:lang w:val="en-GB"/>
        </w:rPr>
        <w:t>Experimental and therapeutic medicine</w:t>
      </w:r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> vol. 26</w:t>
      </w:r>
      <w:proofErr w:type="gramStart"/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>,3</w:t>
      </w:r>
      <w:proofErr w:type="gramEnd"/>
      <w:r w:rsidRPr="008B35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 xml:space="preserve"> 451. 3 Aug. 2023, doi:10.3892/etm.2023.12150</w:t>
      </w:r>
    </w:p>
    <w:p w:rsidR="00F05D52" w:rsidRPr="008B35C0" w:rsidRDefault="00F05D52" w:rsidP="001971AC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8B35C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Nabi, M., Rasool, S. U. A., Ashraf, S., Andrabi, S. M., &amp; Amin, S. (2023). Androgen receptor signalling transactivator lncRNAs PRNCR1 and PCGEM contribute to PCOS </w:t>
      </w:r>
      <w:proofErr w:type="gramStart"/>
      <w:r w:rsidRPr="008B35C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pathogenesis.,</w:t>
      </w:r>
      <w:proofErr w:type="gramEnd"/>
      <w:r w:rsidRPr="008B35C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263-271.</w:t>
      </w:r>
      <w:r w:rsidR="008B35C0" w:rsidRPr="008B3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B35C0" w:rsidRPr="008B35C0">
        <w:rPr>
          <w:rFonts w:ascii="Times New Roman" w:hAnsi="Times New Roman" w:cs="Times New Roman"/>
          <w:sz w:val="24"/>
          <w:szCs w:val="24"/>
        </w:rPr>
        <w:t>DOI: https://doi.org/10.21203/rs.3.rs-2598360/v1</w:t>
      </w:r>
    </w:p>
    <w:sectPr w:rsidR="00F05D52" w:rsidRPr="008B35C0" w:rsidSect="00DA7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harisS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3DF7"/>
    <w:multiLevelType w:val="hybridMultilevel"/>
    <w:tmpl w:val="BEF2D3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624294"/>
    <w:multiLevelType w:val="hybridMultilevel"/>
    <w:tmpl w:val="37BA33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C5A8B"/>
    <w:multiLevelType w:val="hybridMultilevel"/>
    <w:tmpl w:val="052A8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08"/>
  <w:characterSpacingControl w:val="doNotCompress"/>
  <w:compat/>
  <w:rsids>
    <w:rsidRoot w:val="35920C74"/>
    <w:rsid w:val="000163FD"/>
    <w:rsid w:val="00020693"/>
    <w:rsid w:val="000C0BFF"/>
    <w:rsid w:val="00137174"/>
    <w:rsid w:val="001425BB"/>
    <w:rsid w:val="001971AC"/>
    <w:rsid w:val="001B49D6"/>
    <w:rsid w:val="001F359E"/>
    <w:rsid w:val="0021348C"/>
    <w:rsid w:val="0026BEE5"/>
    <w:rsid w:val="002A28F1"/>
    <w:rsid w:val="002F690C"/>
    <w:rsid w:val="00300E66"/>
    <w:rsid w:val="00372326"/>
    <w:rsid w:val="00377A79"/>
    <w:rsid w:val="003F0382"/>
    <w:rsid w:val="003F39AB"/>
    <w:rsid w:val="004512DB"/>
    <w:rsid w:val="00485A5E"/>
    <w:rsid w:val="00486195"/>
    <w:rsid w:val="004E43B2"/>
    <w:rsid w:val="004F71C4"/>
    <w:rsid w:val="00503D95"/>
    <w:rsid w:val="00505EF6"/>
    <w:rsid w:val="00515242"/>
    <w:rsid w:val="00525246"/>
    <w:rsid w:val="00543822"/>
    <w:rsid w:val="00555C28"/>
    <w:rsid w:val="00590646"/>
    <w:rsid w:val="005A7CA1"/>
    <w:rsid w:val="005D0B34"/>
    <w:rsid w:val="005D162F"/>
    <w:rsid w:val="005D5DA2"/>
    <w:rsid w:val="00603557"/>
    <w:rsid w:val="006163E9"/>
    <w:rsid w:val="00632EB3"/>
    <w:rsid w:val="00642768"/>
    <w:rsid w:val="00685E96"/>
    <w:rsid w:val="006964E9"/>
    <w:rsid w:val="006A285B"/>
    <w:rsid w:val="006D5E15"/>
    <w:rsid w:val="00711923"/>
    <w:rsid w:val="00773BE6"/>
    <w:rsid w:val="007A0438"/>
    <w:rsid w:val="008577C0"/>
    <w:rsid w:val="008B35C0"/>
    <w:rsid w:val="008B6D07"/>
    <w:rsid w:val="008F692C"/>
    <w:rsid w:val="00917812"/>
    <w:rsid w:val="0093306B"/>
    <w:rsid w:val="00983232"/>
    <w:rsid w:val="009C1645"/>
    <w:rsid w:val="009F766A"/>
    <w:rsid w:val="00A315F5"/>
    <w:rsid w:val="00A35680"/>
    <w:rsid w:val="00A36F6F"/>
    <w:rsid w:val="00A87A56"/>
    <w:rsid w:val="00AC7878"/>
    <w:rsid w:val="00B34312"/>
    <w:rsid w:val="00B37616"/>
    <w:rsid w:val="00B63DF5"/>
    <w:rsid w:val="00B864D1"/>
    <w:rsid w:val="00BD0E30"/>
    <w:rsid w:val="00BD2BE3"/>
    <w:rsid w:val="00BE0319"/>
    <w:rsid w:val="00C00125"/>
    <w:rsid w:val="00C03698"/>
    <w:rsid w:val="00C13989"/>
    <w:rsid w:val="00C456C3"/>
    <w:rsid w:val="00C4B666"/>
    <w:rsid w:val="00C530F1"/>
    <w:rsid w:val="00C81659"/>
    <w:rsid w:val="00C94744"/>
    <w:rsid w:val="00CA145E"/>
    <w:rsid w:val="00CD56B7"/>
    <w:rsid w:val="00D013AB"/>
    <w:rsid w:val="00D11854"/>
    <w:rsid w:val="00D143E3"/>
    <w:rsid w:val="00D26898"/>
    <w:rsid w:val="00D712FB"/>
    <w:rsid w:val="00D76A12"/>
    <w:rsid w:val="00D86CE4"/>
    <w:rsid w:val="00D95478"/>
    <w:rsid w:val="00DA73C9"/>
    <w:rsid w:val="00E35289"/>
    <w:rsid w:val="00E556E0"/>
    <w:rsid w:val="00E94C29"/>
    <w:rsid w:val="00EC5B24"/>
    <w:rsid w:val="00EC7B1C"/>
    <w:rsid w:val="00EE4D3F"/>
    <w:rsid w:val="00EF46AA"/>
    <w:rsid w:val="00F05D52"/>
    <w:rsid w:val="00F12EF0"/>
    <w:rsid w:val="00F40303"/>
    <w:rsid w:val="00F42167"/>
    <w:rsid w:val="00F71376"/>
    <w:rsid w:val="00F713DE"/>
    <w:rsid w:val="00F7481D"/>
    <w:rsid w:val="00FD5AC9"/>
    <w:rsid w:val="00FE1795"/>
    <w:rsid w:val="00FF76D9"/>
    <w:rsid w:val="010E2D21"/>
    <w:rsid w:val="01A340C6"/>
    <w:rsid w:val="02621D6D"/>
    <w:rsid w:val="03433430"/>
    <w:rsid w:val="03C2A1B8"/>
    <w:rsid w:val="03ECEBA4"/>
    <w:rsid w:val="04E6271C"/>
    <w:rsid w:val="05AC1CBF"/>
    <w:rsid w:val="066B899F"/>
    <w:rsid w:val="06AF4054"/>
    <w:rsid w:val="06D46518"/>
    <w:rsid w:val="06E2D3B5"/>
    <w:rsid w:val="0700084F"/>
    <w:rsid w:val="07B6FE47"/>
    <w:rsid w:val="0964F48B"/>
    <w:rsid w:val="0B0F5F52"/>
    <w:rsid w:val="0C907747"/>
    <w:rsid w:val="0DB0BF77"/>
    <w:rsid w:val="0DC9B49E"/>
    <w:rsid w:val="0E7FCB90"/>
    <w:rsid w:val="1039EFA3"/>
    <w:rsid w:val="103AD95E"/>
    <w:rsid w:val="10519AA6"/>
    <w:rsid w:val="10E761B8"/>
    <w:rsid w:val="126DCA05"/>
    <w:rsid w:val="12F70DAB"/>
    <w:rsid w:val="13533CB3"/>
    <w:rsid w:val="15C1D2AD"/>
    <w:rsid w:val="160ABB13"/>
    <w:rsid w:val="161705F6"/>
    <w:rsid w:val="174493ED"/>
    <w:rsid w:val="190B719F"/>
    <w:rsid w:val="194CE7E0"/>
    <w:rsid w:val="19663C90"/>
    <w:rsid w:val="19A74D60"/>
    <w:rsid w:val="1ABBBB85"/>
    <w:rsid w:val="1C98406B"/>
    <w:rsid w:val="1DFE8C5D"/>
    <w:rsid w:val="1ECDE9BE"/>
    <w:rsid w:val="1FE0217C"/>
    <w:rsid w:val="2235AD05"/>
    <w:rsid w:val="25657204"/>
    <w:rsid w:val="261E4CC9"/>
    <w:rsid w:val="27F14645"/>
    <w:rsid w:val="282A2269"/>
    <w:rsid w:val="2908B002"/>
    <w:rsid w:val="2A2675BB"/>
    <w:rsid w:val="2B527906"/>
    <w:rsid w:val="2CBBDC6F"/>
    <w:rsid w:val="2DF1DF3C"/>
    <w:rsid w:val="2EF9EC42"/>
    <w:rsid w:val="2F204E46"/>
    <w:rsid w:val="2FD86F1A"/>
    <w:rsid w:val="308E9BAB"/>
    <w:rsid w:val="3095BCA3"/>
    <w:rsid w:val="3255BE7D"/>
    <w:rsid w:val="35920C74"/>
    <w:rsid w:val="35B4E2C9"/>
    <w:rsid w:val="35C72040"/>
    <w:rsid w:val="3705420B"/>
    <w:rsid w:val="37ECE993"/>
    <w:rsid w:val="393AC633"/>
    <w:rsid w:val="3988B9F4"/>
    <w:rsid w:val="39919C23"/>
    <w:rsid w:val="3ACBEC5B"/>
    <w:rsid w:val="3B8F17A5"/>
    <w:rsid w:val="3C4A8D13"/>
    <w:rsid w:val="3C704D2F"/>
    <w:rsid w:val="3EC6B867"/>
    <w:rsid w:val="3F031BD7"/>
    <w:rsid w:val="41433148"/>
    <w:rsid w:val="414950D7"/>
    <w:rsid w:val="41FE5929"/>
    <w:rsid w:val="439C3E6E"/>
    <w:rsid w:val="43AF0CDC"/>
    <w:rsid w:val="44958574"/>
    <w:rsid w:val="44EE1FB2"/>
    <w:rsid w:val="45380ECF"/>
    <w:rsid w:val="45A14C6C"/>
    <w:rsid w:val="45AD9D06"/>
    <w:rsid w:val="4630D6E6"/>
    <w:rsid w:val="46668B3C"/>
    <w:rsid w:val="46BA513E"/>
    <w:rsid w:val="47A9C7AC"/>
    <w:rsid w:val="47CCA747"/>
    <w:rsid w:val="489ED3AC"/>
    <w:rsid w:val="49E0699B"/>
    <w:rsid w:val="4A54A8F2"/>
    <w:rsid w:val="4A831F04"/>
    <w:rsid w:val="4A95161F"/>
    <w:rsid w:val="4AC70971"/>
    <w:rsid w:val="4AFD2E01"/>
    <w:rsid w:val="4B3307D8"/>
    <w:rsid w:val="4B6A733F"/>
    <w:rsid w:val="4C07DBA8"/>
    <w:rsid w:val="4D3110FC"/>
    <w:rsid w:val="4D6969D6"/>
    <w:rsid w:val="4E6541EF"/>
    <w:rsid w:val="4F74CBBF"/>
    <w:rsid w:val="5031B302"/>
    <w:rsid w:val="51104CF0"/>
    <w:rsid w:val="519CE2B1"/>
    <w:rsid w:val="51E9E7E9"/>
    <w:rsid w:val="52122FD9"/>
    <w:rsid w:val="5272F7B1"/>
    <w:rsid w:val="52B4606D"/>
    <w:rsid w:val="52BD3E7F"/>
    <w:rsid w:val="534E9FF3"/>
    <w:rsid w:val="54039BD0"/>
    <w:rsid w:val="54238D5B"/>
    <w:rsid w:val="545030CE"/>
    <w:rsid w:val="550E9954"/>
    <w:rsid w:val="552003EC"/>
    <w:rsid w:val="55AE33C0"/>
    <w:rsid w:val="55BF2053"/>
    <w:rsid w:val="55EC012F"/>
    <w:rsid w:val="567ACE98"/>
    <w:rsid w:val="56CE7320"/>
    <w:rsid w:val="57F1CD11"/>
    <w:rsid w:val="582C0663"/>
    <w:rsid w:val="592537E6"/>
    <w:rsid w:val="59EC4BA7"/>
    <w:rsid w:val="5AC191CE"/>
    <w:rsid w:val="5B674DEA"/>
    <w:rsid w:val="5B8B73D3"/>
    <w:rsid w:val="5BB37D46"/>
    <w:rsid w:val="5BC561A3"/>
    <w:rsid w:val="5C29F171"/>
    <w:rsid w:val="5C5D622F"/>
    <w:rsid w:val="5D158418"/>
    <w:rsid w:val="5D5F2E33"/>
    <w:rsid w:val="5D653253"/>
    <w:rsid w:val="5E39DEF4"/>
    <w:rsid w:val="5E8B772C"/>
    <w:rsid w:val="5EE7EC42"/>
    <w:rsid w:val="5FCBEEEB"/>
    <w:rsid w:val="626D5397"/>
    <w:rsid w:val="6387808A"/>
    <w:rsid w:val="63E95706"/>
    <w:rsid w:val="64DABC19"/>
    <w:rsid w:val="64E578CE"/>
    <w:rsid w:val="651FC195"/>
    <w:rsid w:val="6674F8E3"/>
    <w:rsid w:val="6701BA5B"/>
    <w:rsid w:val="68289E11"/>
    <w:rsid w:val="68B6BB3A"/>
    <w:rsid w:val="69F75E37"/>
    <w:rsid w:val="6A6961EB"/>
    <w:rsid w:val="6AC9AF70"/>
    <w:rsid w:val="6C991BB3"/>
    <w:rsid w:val="6D0A9857"/>
    <w:rsid w:val="6D153A73"/>
    <w:rsid w:val="6D3BC82F"/>
    <w:rsid w:val="6E4FDB80"/>
    <w:rsid w:val="6F794768"/>
    <w:rsid w:val="6FF2CAE7"/>
    <w:rsid w:val="7056FE62"/>
    <w:rsid w:val="708537CA"/>
    <w:rsid w:val="71955C7E"/>
    <w:rsid w:val="7208F730"/>
    <w:rsid w:val="720CC06A"/>
    <w:rsid w:val="72EAB503"/>
    <w:rsid w:val="74868564"/>
    <w:rsid w:val="753A6A59"/>
    <w:rsid w:val="756AE535"/>
    <w:rsid w:val="75A26539"/>
    <w:rsid w:val="75CD9153"/>
    <w:rsid w:val="76096D2F"/>
    <w:rsid w:val="76164107"/>
    <w:rsid w:val="771FCBAB"/>
    <w:rsid w:val="77E8E26E"/>
    <w:rsid w:val="77F278BB"/>
    <w:rsid w:val="7808714F"/>
    <w:rsid w:val="7811B628"/>
    <w:rsid w:val="784C6934"/>
    <w:rsid w:val="786F5C08"/>
    <w:rsid w:val="78CD4886"/>
    <w:rsid w:val="78D17F9A"/>
    <w:rsid w:val="797F8CE8"/>
    <w:rsid w:val="79AD8689"/>
    <w:rsid w:val="7A0E2E1D"/>
    <w:rsid w:val="7AF42DB1"/>
    <w:rsid w:val="7B25D150"/>
    <w:rsid w:val="7B87B77C"/>
    <w:rsid w:val="7BC7C39F"/>
    <w:rsid w:val="7C7BB6DD"/>
    <w:rsid w:val="7CB72DAA"/>
    <w:rsid w:val="7D3093F7"/>
    <w:rsid w:val="7D6E0FD5"/>
    <w:rsid w:val="7E5D7212"/>
    <w:rsid w:val="7EB70611"/>
    <w:rsid w:val="7F05E2C4"/>
    <w:rsid w:val="7F72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306B"/>
    <w:pPr>
      <w:ind w:left="720"/>
      <w:contextualSpacing/>
    </w:pPr>
  </w:style>
  <w:style w:type="character" w:customStyle="1" w:styleId="fontstyle01">
    <w:name w:val="fontstyle01"/>
    <w:basedOn w:val="a0"/>
    <w:rsid w:val="00137174"/>
    <w:rPr>
      <w:rFonts w:ascii="CharisSIL" w:hAnsi="CharisSIL" w:hint="default"/>
      <w:b w:val="0"/>
      <w:bCs w:val="0"/>
      <w:i w:val="0"/>
      <w:iCs w:val="0"/>
      <w:color w:val="2196D1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8725F3-3B61-41FE-9EF3-40170D21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Буланов Игорь Геннадьевич</dc:creator>
  <cp:lastModifiedBy>Igor Igor</cp:lastModifiedBy>
  <cp:revision>115</cp:revision>
  <cp:lastPrinted>2023-10-22T13:45:00Z</cp:lastPrinted>
  <dcterms:created xsi:type="dcterms:W3CDTF">2023-10-21T19:12:00Z</dcterms:created>
  <dcterms:modified xsi:type="dcterms:W3CDTF">2023-11-20T21:44:00Z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0850871b-46dc-370a-947c-1fb101151f11</vt:lpwstr>
  </property>
  <property fmtid="{D5CDD505-2E9C-101B-9397-08002B2CF9AE}" pid="24" name="Mendeley Citation Style_1">
    <vt:lpwstr>http://www.zotero.org/styles/ieee</vt:lpwstr>
  </property>
</Properties>
</file>