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C8E7" w14:textId="77777777" w:rsidR="00CA65E3" w:rsidRPr="001766B7" w:rsidRDefault="00CA65E3">
      <w:pPr>
        <w:rPr>
          <w:rFonts w:ascii="Times New Roman" w:hAnsi="Times New Roman" w:cs="Times New Roman"/>
        </w:rPr>
      </w:pPr>
    </w:p>
    <w:p w14:paraId="246F3171" w14:textId="77777777" w:rsidR="00CA65E3" w:rsidRPr="001766B7" w:rsidRDefault="00CA65E3">
      <w:pPr>
        <w:rPr>
          <w:rFonts w:ascii="Times New Roman" w:hAnsi="Times New Roman" w:cs="Times New Roman"/>
        </w:rPr>
      </w:pPr>
    </w:p>
    <w:p w14:paraId="58C888B4" w14:textId="77777777" w:rsidR="00CA65E3" w:rsidRPr="001766B7" w:rsidRDefault="00CA65E3">
      <w:pPr>
        <w:rPr>
          <w:rFonts w:ascii="Times New Roman" w:hAnsi="Times New Roman" w:cs="Times New Roman"/>
        </w:rPr>
      </w:pPr>
    </w:p>
    <w:p w14:paraId="20313443" w14:textId="77777777" w:rsidR="00CA65E3" w:rsidRPr="001766B7" w:rsidRDefault="00CA65E3">
      <w:pPr>
        <w:rPr>
          <w:rFonts w:ascii="Times New Roman" w:hAnsi="Times New Roman" w:cs="Times New Roman"/>
        </w:rPr>
      </w:pPr>
    </w:p>
    <w:p w14:paraId="1AAEC423" w14:textId="77777777" w:rsidR="00CA65E3" w:rsidRPr="001766B7" w:rsidRDefault="00CA65E3">
      <w:pPr>
        <w:rPr>
          <w:rFonts w:ascii="Times New Roman" w:hAnsi="Times New Roman" w:cs="Times New Roman"/>
        </w:rPr>
      </w:pPr>
    </w:p>
    <w:p w14:paraId="3DA7255E" w14:textId="77777777" w:rsidR="00CA65E3" w:rsidRPr="001766B7" w:rsidRDefault="00CA65E3">
      <w:pPr>
        <w:rPr>
          <w:rFonts w:ascii="Times New Roman" w:hAnsi="Times New Roman" w:cs="Times New Roman"/>
        </w:rPr>
      </w:pPr>
    </w:p>
    <w:p w14:paraId="505158E5" w14:textId="77777777" w:rsidR="00CA65E3" w:rsidRPr="001766B7" w:rsidRDefault="00CA65E3">
      <w:pPr>
        <w:rPr>
          <w:rFonts w:ascii="Times New Roman" w:hAnsi="Times New Roman" w:cs="Times New Roman"/>
        </w:rPr>
      </w:pPr>
    </w:p>
    <w:p w14:paraId="5BCC298C" w14:textId="77777777" w:rsidR="00CA65E3" w:rsidRPr="001766B7" w:rsidRDefault="00000000">
      <w:pPr>
        <w:spacing w:after="360"/>
        <w:jc w:val="center"/>
        <w:rPr>
          <w:rFonts w:ascii="Times New Roman" w:hAnsi="Times New Roman" w:cs="Times New Roman"/>
        </w:rPr>
      </w:pPr>
      <w:r w:rsidRPr="001766B7">
        <w:rPr>
          <w:rFonts w:ascii="Times New Roman" w:eastAsia="Calibri" w:hAnsi="Times New Roman" w:cs="Times New Roman"/>
          <w:b/>
          <w:color w:val="1F4D78"/>
        </w:rPr>
        <w:t>ДИПЛОМСКА РАБОТА</w:t>
      </w:r>
    </w:p>
    <w:p w14:paraId="4262D054" w14:textId="77777777" w:rsidR="00CA65E3" w:rsidRPr="001766B7" w:rsidRDefault="00000000">
      <w:pPr>
        <w:jc w:val="center"/>
        <w:rPr>
          <w:rFonts w:ascii="Times New Roman" w:hAnsi="Times New Roman" w:cs="Times New Roman"/>
        </w:rPr>
      </w:pPr>
      <w:r w:rsidRPr="001766B7">
        <w:rPr>
          <w:rFonts w:ascii="Times New Roman" w:eastAsia="Calibri" w:hAnsi="Times New Roman" w:cs="Times New Roman"/>
        </w:rPr>
        <w:t>развиениот систем</w:t>
      </w:r>
    </w:p>
    <w:p w14:paraId="63DEF2A4" w14:textId="77777777" w:rsidR="00CA65E3" w:rsidRPr="001766B7" w:rsidRDefault="00000000">
      <w:pPr>
        <w:spacing w:after="560"/>
        <w:jc w:val="center"/>
        <w:rPr>
          <w:rFonts w:ascii="Times New Roman" w:hAnsi="Times New Roman" w:cs="Times New Roman"/>
        </w:rPr>
      </w:pPr>
      <w:r w:rsidRPr="001766B7">
        <w:rPr>
          <w:rFonts w:ascii="Times New Roman" w:eastAsia="Calibri" w:hAnsi="Times New Roman" w:cs="Times New Roman"/>
        </w:rPr>
        <w:t>Развој на веб-систем и репродуцибилна евалуација на модели за машинско учење</w:t>
      </w:r>
    </w:p>
    <w:p w14:paraId="7B0F6C65" w14:textId="77777777" w:rsidR="00CA65E3" w:rsidRPr="001766B7" w:rsidRDefault="00000000">
      <w:pPr>
        <w:jc w:val="center"/>
        <w:rPr>
          <w:rFonts w:ascii="Times New Roman" w:hAnsi="Times New Roman" w:cs="Times New Roman"/>
        </w:rPr>
      </w:pPr>
      <w:r w:rsidRPr="001766B7">
        <w:rPr>
          <w:rFonts w:ascii="Times New Roman" w:eastAsia="Calibri" w:hAnsi="Times New Roman" w:cs="Times New Roman"/>
        </w:rPr>
        <w:t>Методолошкиот фокус е поставен врз временски коректно моделирање, проверлива евалуација и интерпретација на резултатите.</w:t>
      </w:r>
    </w:p>
    <w:p w14:paraId="19BE5156" w14:textId="77777777" w:rsidR="00CA65E3" w:rsidRPr="001766B7" w:rsidRDefault="00CA65E3">
      <w:pPr>
        <w:rPr>
          <w:rFonts w:ascii="Times New Roman" w:hAnsi="Times New Roman" w:cs="Times New Roman"/>
        </w:rPr>
      </w:pPr>
    </w:p>
    <w:p w14:paraId="3543006C" w14:textId="77777777" w:rsidR="00CA65E3" w:rsidRPr="001766B7" w:rsidRDefault="00CA65E3">
      <w:pPr>
        <w:rPr>
          <w:rFonts w:ascii="Times New Roman" w:hAnsi="Times New Roman" w:cs="Times New Roman"/>
        </w:rPr>
      </w:pPr>
    </w:p>
    <w:p w14:paraId="66740134" w14:textId="77777777" w:rsidR="00CA65E3" w:rsidRPr="001766B7" w:rsidRDefault="00CA65E3">
      <w:pPr>
        <w:rPr>
          <w:rFonts w:ascii="Times New Roman" w:hAnsi="Times New Roman" w:cs="Times New Roman"/>
        </w:rPr>
      </w:pPr>
    </w:p>
    <w:p w14:paraId="0B5F1D28" w14:textId="77777777" w:rsidR="00CA65E3" w:rsidRPr="001766B7" w:rsidRDefault="00CA65E3">
      <w:pPr>
        <w:rPr>
          <w:rFonts w:ascii="Times New Roman" w:hAnsi="Times New Roman" w:cs="Times New Roman"/>
        </w:rPr>
      </w:pPr>
    </w:p>
    <w:p w14:paraId="5AEE4545" w14:textId="77777777" w:rsidR="00CA65E3" w:rsidRPr="001766B7" w:rsidRDefault="00CA65E3">
      <w:pPr>
        <w:rPr>
          <w:rFonts w:ascii="Times New Roman" w:hAnsi="Times New Roman" w:cs="Times New Roman"/>
        </w:rPr>
      </w:pPr>
    </w:p>
    <w:p w14:paraId="01E45BAF" w14:textId="77777777" w:rsidR="00CA65E3" w:rsidRPr="001766B7" w:rsidRDefault="00CA65E3">
      <w:pPr>
        <w:rPr>
          <w:rFonts w:ascii="Times New Roman" w:hAnsi="Times New Roman" w:cs="Times New Roman"/>
        </w:rPr>
      </w:pPr>
    </w:p>
    <w:p w14:paraId="309E0677" w14:textId="77777777" w:rsidR="00CA65E3" w:rsidRPr="001766B7" w:rsidRDefault="00000000">
      <w:pPr>
        <w:jc w:val="center"/>
        <w:rPr>
          <w:rFonts w:ascii="Times New Roman" w:hAnsi="Times New Roman" w:cs="Times New Roman"/>
        </w:rPr>
      </w:pPr>
      <w:r w:rsidRPr="001766B7">
        <w:rPr>
          <w:rFonts w:ascii="Times New Roman" w:eastAsia="Calibri" w:hAnsi="Times New Roman" w:cs="Times New Roman"/>
          <w:color w:val="667085"/>
          <w:sz w:val="19"/>
        </w:rPr>
        <w:t>Факултет за информатички науки и компјутерско инженерство</w:t>
      </w:r>
    </w:p>
    <w:p w14:paraId="396ADE6C" w14:textId="77777777" w:rsidR="00CA65E3" w:rsidRPr="001766B7" w:rsidRDefault="00000000">
      <w:pPr>
        <w:jc w:val="center"/>
        <w:rPr>
          <w:rFonts w:ascii="Times New Roman" w:hAnsi="Times New Roman" w:cs="Times New Roman"/>
        </w:rPr>
      </w:pPr>
      <w:r w:rsidRPr="001766B7">
        <w:rPr>
          <w:rFonts w:ascii="Times New Roman" w:eastAsia="Calibri" w:hAnsi="Times New Roman" w:cs="Times New Roman"/>
          <w:color w:val="667085"/>
          <w:sz w:val="19"/>
        </w:rPr>
        <w:t>Скопје, јуни 2026</w:t>
      </w:r>
    </w:p>
    <w:p w14:paraId="53E3A1E3" w14:textId="77777777" w:rsidR="00CA65E3" w:rsidRPr="001766B7" w:rsidRDefault="00000000">
      <w:pPr>
        <w:rPr>
          <w:rFonts w:ascii="Times New Roman" w:hAnsi="Times New Roman" w:cs="Times New Roman"/>
        </w:rPr>
      </w:pPr>
      <w:r w:rsidRPr="001766B7">
        <w:rPr>
          <w:rFonts w:ascii="Times New Roman" w:hAnsi="Times New Roman" w:cs="Times New Roman"/>
        </w:rPr>
        <w:br w:type="page"/>
      </w:r>
    </w:p>
    <w:p w14:paraId="5EC65455"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lastRenderedPageBreak/>
        <w:t>Апстракт</w:t>
      </w:r>
    </w:p>
    <w:p w14:paraId="5DF2D144" w14:textId="2EB79717" w:rsidR="00CA65E3" w:rsidRPr="001766B7" w:rsidRDefault="00000000">
      <w:pPr>
        <w:rPr>
          <w:rFonts w:ascii="Times New Roman" w:hAnsi="Times New Roman" w:cs="Times New Roman"/>
        </w:rPr>
      </w:pPr>
      <w:r w:rsidRPr="001766B7">
        <w:rPr>
          <w:rFonts w:ascii="Times New Roman" w:eastAsia="Calibri" w:hAnsi="Times New Roman" w:cs="Times New Roman"/>
        </w:rPr>
        <w:t>Во оваа дипломска работа се разработува веб-систем за анализа на податоци од Formula 1 и за генерирање предвидувања на ниво возач–трка. Истражувачкиот фокус е поставен врз репродуцибилна споредба на модели за машинско учење за четири јасно дефинирани задачи: процена на завршна позиција, класификација на пласман во првите десет, класификација на пласман на подиум и процена на промена на позиции. Методологијата разликува две временски точки на одлучување — пред квалификации и по квалификации, а за секоја точка се користат само променливи што се достапни до соодветниот момент. Системот е проектиран како интегрирана околина за прибирање податоци, нивна релациска организација, инженерство на карактеристики, извршување експерименти и аналитичко прикажување на резултатите.</w:t>
      </w:r>
      <w:r w:rsidRPr="001766B7">
        <w:rPr>
          <w:rFonts w:ascii="Times New Roman" w:hAnsi="Times New Roman" w:cs="Times New Roman"/>
        </w:rPr>
        <w:br w:type="page"/>
      </w:r>
    </w:p>
    <w:p w14:paraId="4752FE10"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lastRenderedPageBreak/>
        <w:t>Содржина</w:t>
      </w:r>
    </w:p>
    <w:p w14:paraId="55E975EA"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1. Вовед</w:t>
      </w:r>
    </w:p>
    <w:p w14:paraId="785D847F" w14:textId="77777777" w:rsidR="00CA65E3" w:rsidRPr="001766B7" w:rsidRDefault="00000000">
      <w:pPr>
        <w:spacing w:after="60"/>
        <w:ind w:left="432" w:hanging="432"/>
        <w:rPr>
          <w:rFonts w:ascii="Times New Roman" w:hAnsi="Times New Roman" w:cs="Times New Roman"/>
        </w:rPr>
      </w:pPr>
      <w:r w:rsidRPr="001766B7">
        <w:rPr>
          <w:rFonts w:ascii="Times New Roman" w:hAnsi="Times New Roman" w:cs="Times New Roman"/>
        </w:rPr>
        <w:t>1.1 Поврзани истражувања и позиционирање на трудот</w:t>
      </w:r>
    </w:p>
    <w:p w14:paraId="36B0EAF5"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2. Истражувачка цел и опфат</w:t>
      </w:r>
    </w:p>
    <w:p w14:paraId="3C32855B"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3. Архитектура на системот</w:t>
      </w:r>
    </w:p>
    <w:p w14:paraId="7932D16B"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4. Технологии и алатки</w:t>
      </w:r>
    </w:p>
    <w:p w14:paraId="2D98DC26"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5. Модел на податоци</w:t>
      </w:r>
    </w:p>
    <w:p w14:paraId="5C427565"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6. Прибирање и обработка на податоци</w:t>
      </w:r>
    </w:p>
    <w:p w14:paraId="7C9E8A7D"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7. Машинско учење и предвидувања</w:t>
      </w:r>
    </w:p>
    <w:p w14:paraId="6933E5B4"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8. Backend API</w:t>
      </w:r>
    </w:p>
    <w:p w14:paraId="070013D2"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9. Frontend апликација</w:t>
      </w:r>
    </w:p>
    <w:p w14:paraId="29050235"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10. Главни функционалности</w:t>
      </w:r>
    </w:p>
    <w:p w14:paraId="40327775"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11. Генерирање и користење предвидувања</w:t>
      </w:r>
    </w:p>
    <w:p w14:paraId="6B1D92ED"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12. Репродуцибилност и верификација</w:t>
      </w:r>
    </w:p>
    <w:p w14:paraId="689A7C9D"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13. Model Lab: презентација на експериментални докази</w:t>
      </w:r>
    </w:p>
    <w:p w14:paraId="09AB903E"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14. Ограничувања</w:t>
      </w:r>
    </w:p>
    <w:p w14:paraId="15C96202"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eastAsia="Calibri" w:hAnsi="Times New Roman" w:cs="Times New Roman"/>
        </w:rPr>
        <w:t>15. Идни подобрувања</w:t>
      </w:r>
    </w:p>
    <w:p w14:paraId="69C1A524" w14:textId="77777777" w:rsidR="00CA65E3" w:rsidRPr="001766B7" w:rsidRDefault="00000000">
      <w:pPr>
        <w:spacing w:after="60" w:line="290" w:lineRule="auto"/>
        <w:ind w:left="432" w:hanging="432"/>
        <w:rPr>
          <w:rFonts w:ascii="Times New Roman" w:hAnsi="Times New Roman" w:cs="Times New Roman"/>
        </w:rPr>
      </w:pPr>
      <w:r w:rsidRPr="001766B7">
        <w:rPr>
          <w:rFonts w:ascii="Times New Roman" w:hAnsi="Times New Roman" w:cs="Times New Roman"/>
        </w:rPr>
        <w:t>16. Дискусија на резултатите</w:t>
      </w:r>
    </w:p>
    <w:p w14:paraId="44E93BAE" w14:textId="77777777" w:rsidR="00CA65E3" w:rsidRPr="001766B7" w:rsidRDefault="00000000">
      <w:pPr>
        <w:spacing w:after="60"/>
        <w:ind w:left="432" w:hanging="432"/>
        <w:rPr>
          <w:rFonts w:ascii="Times New Roman" w:hAnsi="Times New Roman" w:cs="Times New Roman"/>
        </w:rPr>
      </w:pPr>
      <w:r w:rsidRPr="001766B7">
        <w:rPr>
          <w:rFonts w:ascii="Times New Roman" w:hAnsi="Times New Roman" w:cs="Times New Roman"/>
        </w:rPr>
        <w:t>17. Детална методолошка анализа</w:t>
      </w:r>
    </w:p>
    <w:p w14:paraId="42A367BD" w14:textId="77777777" w:rsidR="00CA65E3" w:rsidRPr="001766B7" w:rsidRDefault="00000000">
      <w:pPr>
        <w:spacing w:after="60"/>
        <w:ind w:left="432" w:hanging="432"/>
        <w:rPr>
          <w:rFonts w:ascii="Times New Roman" w:hAnsi="Times New Roman" w:cs="Times New Roman"/>
        </w:rPr>
      </w:pPr>
      <w:r w:rsidRPr="001766B7">
        <w:rPr>
          <w:rFonts w:ascii="Times New Roman" w:hAnsi="Times New Roman" w:cs="Times New Roman"/>
        </w:rPr>
        <w:t>18. Квалитет на имплементацијата и репродуцибилност</w:t>
      </w:r>
    </w:p>
    <w:p w14:paraId="11CF9C39" w14:textId="77777777" w:rsidR="00CA65E3" w:rsidRPr="001766B7" w:rsidRDefault="00000000">
      <w:pPr>
        <w:spacing w:after="60"/>
        <w:ind w:left="432" w:hanging="432"/>
        <w:rPr>
          <w:rFonts w:ascii="Times New Roman" w:hAnsi="Times New Roman" w:cs="Times New Roman"/>
        </w:rPr>
      </w:pPr>
      <w:r w:rsidRPr="001766B7">
        <w:rPr>
          <w:rFonts w:ascii="Times New Roman" w:hAnsi="Times New Roman" w:cs="Times New Roman"/>
        </w:rPr>
        <w:t>19. Заклучок</w:t>
      </w:r>
    </w:p>
    <w:p w14:paraId="64A8F306" w14:textId="77777777" w:rsidR="00CA65E3" w:rsidRPr="001766B7" w:rsidRDefault="00000000">
      <w:pPr>
        <w:spacing w:after="60"/>
        <w:ind w:left="432" w:hanging="432"/>
        <w:rPr>
          <w:rFonts w:ascii="Times New Roman" w:hAnsi="Times New Roman" w:cs="Times New Roman"/>
        </w:rPr>
      </w:pPr>
      <w:r w:rsidRPr="001766B7">
        <w:rPr>
          <w:rFonts w:ascii="Times New Roman" w:hAnsi="Times New Roman" w:cs="Times New Roman"/>
        </w:rPr>
        <w:t>20. Литература</w:t>
      </w:r>
    </w:p>
    <w:p w14:paraId="40800F7C" w14:textId="77777777" w:rsidR="00CA65E3" w:rsidRPr="001766B7" w:rsidRDefault="00000000">
      <w:pPr>
        <w:spacing w:after="60"/>
        <w:ind w:left="432" w:hanging="432"/>
        <w:rPr>
          <w:rFonts w:ascii="Times New Roman" w:hAnsi="Times New Roman" w:cs="Times New Roman"/>
        </w:rPr>
      </w:pPr>
      <w:r w:rsidRPr="001766B7">
        <w:rPr>
          <w:rFonts w:ascii="Times New Roman" w:hAnsi="Times New Roman" w:cs="Times New Roman"/>
        </w:rPr>
        <w:t>Прилог А. Планирани визуелни прилози</w:t>
      </w:r>
    </w:p>
    <w:p w14:paraId="0BDEEDE1"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Забелешка: сите поглавја се означени со Word heading стилови; по финалното уредување, во Microsoft Word може да се генерира автоматска содржина со броеви на страници.</w:t>
      </w:r>
    </w:p>
    <w:p w14:paraId="02587E73" w14:textId="77777777" w:rsidR="00CA65E3" w:rsidRPr="001766B7" w:rsidRDefault="00000000">
      <w:pPr>
        <w:rPr>
          <w:rFonts w:ascii="Times New Roman" w:hAnsi="Times New Roman" w:cs="Times New Roman"/>
        </w:rPr>
      </w:pPr>
      <w:r w:rsidRPr="001766B7">
        <w:rPr>
          <w:rFonts w:ascii="Times New Roman" w:hAnsi="Times New Roman" w:cs="Times New Roman"/>
        </w:rPr>
        <w:br w:type="page"/>
      </w:r>
    </w:p>
    <w:p w14:paraId="17F7AD9D"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lastRenderedPageBreak/>
        <w:t>1. Вовед</w:t>
      </w:r>
    </w:p>
    <w:p w14:paraId="13CC1D7B"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Formula 1 претставува погоден домен за анализирање на податоци затоа што секоја трка создава истовремено спортски, технички и временски зависни набљудувања. Завршниот поредок на возачот е поврзан со историската форма, перформансите на тимот, карактеристиките на патеката, квалификацискиот резултат и стартната позиција, но и со настани што не се познати пред трката. Таквата комбинација го прави доменот корисен за машинско учење, но и методолошки чувствителен: случајна поделба на редовите или користење информации по трката може да создаде привидно висока, но неупотреблива точност.</w:t>
      </w:r>
    </w:p>
    <w:p w14:paraId="1893C011"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Развиениот систем претставува слоевита веб-архитектура која ги поврзува историските податоци од Formula 1 со предвидувачки модели и аналитички кориснички интерфејс. Во рамките на трудот, веб-апликацијата не се третира како доказ за точност сама по себе, туку како средство преку кое се организираат податоците, се извршуваат предвидувања и се прикажуваат проверливи експериментални артефакти. За да биде споредбата валидна, за сите кандидати се применуваат исти дефиниции на целните променливи, ист временски редослед на поделбите и ист договор за достапност на карактеристиките.</w:t>
      </w:r>
    </w:p>
    <w:p w14:paraId="773C117B"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Предвидувањата се наменети за аналитичка и истражувачка употреба. Тие не претставуваат каузално објаснување на спортските исходи, ниту механизам за гарантирање на резултат од поединечна трка. Вредноста на системот е во дисциплинираното поврзување на инженерскиот процес — од внесување и прочистување на податоци, преку временски ограничено инженерство на карактеристики, до зачувување на модели, метрики и визуелни анализи.</w:t>
      </w:r>
    </w:p>
    <w:p w14:paraId="56779C8F"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1.1 Поврзани истражувања и позиционирање на трудот</w:t>
      </w:r>
    </w:p>
    <w:p w14:paraId="45BE03F9"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Предвидувањето и анализата на Formula 1 се обработуваат во повеќе истражувачки насоки: процена на исход на трка, анализа на перформанси по сесии, оптимизација на стратегија и објаснување на одлуки донесени во динамична средина. Заедничката карактеристика на овие пристапи е користењето историски спортски и технички податоци, но нивната целна променлива и моментот на кој информацијата се смета за достапна често се различни. Поради тоа, споредбата на резултати меѓу трудови мора да го земе предвид не само избраниот алгоритам, туку и дефиницијата на задачата, изворите на податоци и начинот на валидација.</w:t>
      </w:r>
    </w:p>
    <w:p w14:paraId="25AB421F"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 xml:space="preserve">Kumar и Preethi [11] ја разгледуваат примената на машинско учење за анализа на Formula 1 трки. Нивната работа е релевантна како пример за пренесување на методи за анализа на податоци во доменот на моторспортот. Развиениот систем во овој труд се разликува по тоа што задачите за предвидување се експлицитно поделени на регресија и класификација, а достапните влезови се организирани во два временски контекста. На тој начин, квалификациските информации не се </w:t>
      </w:r>
      <w:r w:rsidRPr="001766B7">
        <w:rPr>
          <w:rFonts w:ascii="Times New Roman" w:eastAsia="Calibri" w:hAnsi="Times New Roman" w:cs="Times New Roman"/>
        </w:rPr>
        <w:lastRenderedPageBreak/>
        <w:t>третираат како општи историски променливи, туку како сигнали кои може да се користат само по нивната појава.</w:t>
      </w:r>
    </w:p>
    <w:p w14:paraId="361470DC"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Alahmadi, Alrumaih, Alshammari, Khan и Bashar [12] се насочуваат кон предвидување на исходи од Formula 1 со надгледувано машинско учење. Темата е блиска до целта на овој труд, бидејќи и двата пристапи ја поставуваат прогнозата на тркачки исход како проблем на учење од историски примери. Специфичноста на сегашната работа е во репродуцибилниот експериментален договор: изборот на модел се врши на развојна временска валидација, а подоцнежната целосна сезона е изолирана за конечна потврдна евалуација. Дополнително, се известуваат базни линии, калибрациски мерки и артефакти по ред, со што резултатите може да се проверат и повторно да се анализираат.</w:t>
      </w:r>
    </w:p>
    <w:p w14:paraId="493A7A58"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Друга линија на работа го третира моторспортот како последователен проблем на одлучување, а не само како еднократна прогноза на исход. Thomas и соработниците [13], на пример, применуваат објасниво засилено учење за стратегија во Formula 1. Таквиот пристап е суштински различен од сегашниот труд: наместо да предвидува завршен поредок на возач, стратегискиот модел избира дејства низ трката, како што се одлуки поврзани со застанување во бокс или управување со пневматици. Оваа разлика го оправдува раздвојувањето на модулот за анализа на стратегија од моделите за предтркачко предвидување.</w:t>
      </w:r>
    </w:p>
    <w:p w14:paraId="63745450"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Во поширок контекст, трудот се позиционира меѓу апликациските студии кои користат класични и дрвовидни модели за спортски податоци и системите за поддршка на одлучување што користат посложени динамички модели. Наместо да претпостави дека една моделска фамилија е најдобра, тој воспоставува заедничка кандидатска матрица и ги оценува алгоритмите со метрики соодветни на задачата. Оттука, придонесот е и инженерски и методолошки: системот ја поврзува анализата на податоци со API и клиентска апликација, но научниот заклучок се темели на временски ограничена и повторлива евалуација.</w:t>
      </w:r>
    </w:p>
    <w:p w14:paraId="00D372CF"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2. Истражувачка цел и опфат</w:t>
      </w:r>
    </w:p>
    <w:p w14:paraId="4AE81856"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Истражувачката цел е да се испита во која мера избрани линеарни и дрвовидни модели можат да обезбедат корисни предвидувања кога се ограничени на информации што реално биле достапни пред стартот на трката. Оттука, главниот придонес не е предлагање на еден универзално најдобар алгоритам, туку воспоставување проверлив протокол за споредба на повеќе моделски семејства во два информациски контекста, со јасно одвоени фази на избор и конечна евалуација.</w:t>
      </w:r>
    </w:p>
    <w:p w14:paraId="44FA6A5E"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RQ1: Кои кандидатски семејства ги подобруваат значајните базни линии во четирите задачи при хронолошка валидација?</w:t>
      </w:r>
    </w:p>
    <w:p w14:paraId="55CF7642"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RQ2: Во која мера post-qualifying информацискиот сет ја подобрува изведбата во однос на pre-qualifying сетот?</w:t>
      </w:r>
    </w:p>
    <w:p w14:paraId="12F8A137"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lastRenderedPageBreak/>
        <w:t>RQ3: Дали моделите избрани на валидациските сезони задржуваат корисна изведба и калибрација на една подоцнежна, целосно завршена сезона?</w:t>
      </w:r>
    </w:p>
    <w:p w14:paraId="674D6949"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RQ4: Дали веројатностите за Top 10 и podium имаат доволна дискриминација и калибрација за аналитичкото прикажување во апликацијата?</w:t>
      </w:r>
    </w:p>
    <w:p w14:paraId="157D1D49" w14:textId="6B53E486" w:rsidR="00CA65E3" w:rsidRPr="00621FDB" w:rsidRDefault="00000000">
      <w:pPr>
        <w:rPr>
          <w:rFonts w:ascii="Times New Roman" w:hAnsi="Times New Roman" w:cs="Times New Roman"/>
          <w:lang w:val="mk-MK"/>
        </w:rPr>
      </w:pPr>
      <w:r w:rsidRPr="001766B7">
        <w:rPr>
          <w:rFonts w:ascii="Times New Roman" w:eastAsia="Calibri" w:hAnsi="Times New Roman" w:cs="Times New Roman"/>
        </w:rPr>
        <w:t>Единицата на анализа е ред за возач–трка. Бидејќи повеќе возачи учествуваат во иста трка, тие не се третираат како независни набљудувања во интерпретацијата на неизвесноста; резултатите по трка се задржуваат во артефактите за понатамошна кластерска анализа.</w:t>
      </w:r>
      <w:r w:rsidR="00621FDB">
        <w:rPr>
          <w:rFonts w:ascii="Times New Roman" w:eastAsia="Calibri" w:hAnsi="Times New Roman" w:cs="Times New Roman"/>
          <w:lang w:val="mk-MK"/>
        </w:rPr>
        <w:br/>
      </w:r>
    </w:p>
    <w:p w14:paraId="7BD92DE4"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3. Архитектура на системот</w:t>
      </w:r>
    </w:p>
    <w:p w14:paraId="55C282C1"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Архитектурата е организирана во логички раздвоени слоеви. Податоците прво се прибираат и се проверуваат, потоа се складираат во релациска база, од која се формираат редови со карактеристики за експерименталниот модул и за сервисот за предвидување. Серверската компонента изложува доменски и истражувачки API, додека клиентската компонента овозможува преглед на сезонски, тркачки и моделски информации. Ваквата поделба намалува спрегнатост меѓу интерфејсот и експерименталната логика и ја олеснува проверливоста на резултатите.</w:t>
      </w:r>
    </w:p>
    <w:p w14:paraId="221F1AEE" w14:textId="77777777" w:rsidR="00CA65E3" w:rsidRPr="001766B7" w:rsidRDefault="00000000">
      <w:pPr>
        <w:pStyle w:val="ListBullet"/>
        <w:rPr>
          <w:rFonts w:ascii="Times New Roman" w:hAnsi="Times New Roman" w:cs="Times New Roman"/>
        </w:rPr>
      </w:pPr>
      <w:r w:rsidRPr="001766B7">
        <w:rPr>
          <w:rFonts w:ascii="Times New Roman" w:hAnsi="Times New Roman" w:cs="Times New Roman"/>
        </w:rPr>
        <w:t>База на податоци: PostgreSQL 16 со нормализирани ентитети, ограничувања на интегритет и посебни записи за карактеристики и предвидувања;</w:t>
      </w:r>
    </w:p>
    <w:p w14:paraId="1E58D6C2" w14:textId="77777777" w:rsidR="00CA65E3" w:rsidRPr="001766B7" w:rsidRDefault="00000000">
      <w:pPr>
        <w:pStyle w:val="ListBullet"/>
        <w:rPr>
          <w:rFonts w:ascii="Times New Roman" w:hAnsi="Times New Roman" w:cs="Times New Roman"/>
        </w:rPr>
      </w:pPr>
      <w:r w:rsidRPr="001766B7">
        <w:rPr>
          <w:rFonts w:ascii="Times New Roman" w:hAnsi="Times New Roman" w:cs="Times New Roman"/>
        </w:rPr>
        <w:t>Серверска компонента: FastAPI со REST интерфејс, валидација на влезни податоци и контролирано вчитување на моделски артефакти;</w:t>
      </w:r>
    </w:p>
    <w:p w14:paraId="51339017" w14:textId="77777777" w:rsidR="00CA65E3" w:rsidRPr="001766B7" w:rsidRDefault="00000000">
      <w:pPr>
        <w:pStyle w:val="ListBullet"/>
        <w:rPr>
          <w:rFonts w:ascii="Times New Roman" w:hAnsi="Times New Roman" w:cs="Times New Roman"/>
        </w:rPr>
      </w:pPr>
      <w:r w:rsidRPr="001766B7">
        <w:rPr>
          <w:rFonts w:ascii="Times New Roman" w:hAnsi="Times New Roman" w:cs="Times New Roman"/>
        </w:rPr>
        <w:t>Клиентска компонента: React/Vite со TypeScript, управување со асинхрони состојби и интерактивни визуелизации;</w:t>
      </w:r>
    </w:p>
    <w:p w14:paraId="422BA45D" w14:textId="77777777" w:rsidR="00CA65E3" w:rsidRPr="001766B7" w:rsidRDefault="00000000">
      <w:pPr>
        <w:pStyle w:val="ListBullet"/>
        <w:rPr>
          <w:rFonts w:ascii="Times New Roman" w:hAnsi="Times New Roman" w:cs="Times New Roman"/>
        </w:rPr>
      </w:pPr>
      <w:r w:rsidRPr="001766B7">
        <w:rPr>
          <w:rFonts w:ascii="Times New Roman" w:hAnsi="Times New Roman" w:cs="Times New Roman"/>
        </w:rPr>
        <w:t>Процес на прибирање: независно извршливи скрипти за преземање, проверка и обработка на податоци;</w:t>
      </w:r>
    </w:p>
    <w:p w14:paraId="1F4D4DBE" w14:textId="77777777" w:rsidR="00CA65E3" w:rsidRPr="001766B7" w:rsidRDefault="00000000">
      <w:pPr>
        <w:pStyle w:val="ListBullet"/>
        <w:rPr>
          <w:rFonts w:ascii="Times New Roman" w:hAnsi="Times New Roman" w:cs="Times New Roman"/>
        </w:rPr>
      </w:pPr>
      <w:r w:rsidRPr="001766B7">
        <w:rPr>
          <w:rFonts w:ascii="Times New Roman" w:hAnsi="Times New Roman" w:cs="Times New Roman"/>
        </w:rPr>
        <w:t>Експериментален модул: репродуцибилен процес што запишува непроменливи артефакти и промовира модели само по успешно завршување на контролите.</w:t>
      </w:r>
    </w:p>
    <w:p w14:paraId="73AC3036" w14:textId="77777777" w:rsidR="00CA65E3" w:rsidRPr="001766B7" w:rsidRDefault="00000000">
      <w:pPr>
        <w:spacing w:before="80" w:after="40"/>
        <w:jc w:val="center"/>
        <w:rPr>
          <w:rFonts w:ascii="Times New Roman" w:hAnsi="Times New Roman" w:cs="Times New Roman"/>
        </w:rPr>
      </w:pPr>
      <w:r w:rsidRPr="001766B7">
        <w:rPr>
          <w:rFonts w:ascii="Times New Roman" w:hAnsi="Times New Roman" w:cs="Times New Roman"/>
          <w:noProof/>
        </w:rPr>
        <w:lastRenderedPageBreak/>
        <w:drawing>
          <wp:inline distT="0" distB="0" distL="0" distR="0" wp14:anchorId="2CFDD6AE" wp14:editId="2121989F">
            <wp:extent cx="3495696" cy="6263640"/>
            <wp:effectExtent l="0" t="0" r="0" b="0"/>
            <wp:docPr id="1" name="Picture 1" descr="1. Архитектурен тек: од извори на податоци до API, модели и dashboard. Адаптирано од проектната документација." title="1. Архитектурен тек: од извори на податоци до API, модели и dashboard. Адаптирано од проектната документациј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495696" cy="6263640"/>
                    </a:xfrm>
                    <a:prstGeom prst="rect">
                      <a:avLst/>
                    </a:prstGeom>
                  </pic:spPr>
                </pic:pic>
              </a:graphicData>
            </a:graphic>
          </wp:inline>
        </w:drawing>
      </w:r>
    </w:p>
    <w:p w14:paraId="2FC27EAE" w14:textId="77777777" w:rsidR="00CA65E3" w:rsidRPr="001766B7" w:rsidRDefault="00000000">
      <w:pPr>
        <w:spacing w:before="60" w:after="180"/>
        <w:jc w:val="center"/>
        <w:rPr>
          <w:rFonts w:ascii="Times New Roman" w:hAnsi="Times New Roman" w:cs="Times New Roman"/>
        </w:rPr>
      </w:pPr>
      <w:r w:rsidRPr="001766B7">
        <w:rPr>
          <w:rFonts w:ascii="Times New Roman" w:eastAsia="Calibri" w:hAnsi="Times New Roman" w:cs="Times New Roman"/>
          <w:i/>
          <w:color w:val="667085"/>
          <w:sz w:val="19"/>
        </w:rPr>
        <w:t>Слика 1. Архитектурен тек: од извори на податоци до API, модели и dashboard. Адаптирано од проектната документација.</w:t>
      </w:r>
    </w:p>
    <w:p w14:paraId="5382A4D0"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Од аспект на оваа теза, најважната граница е меѓу историското складирање и одлуките донесени на prediction cutoff. Feature engineering не смее да чита податоци од целната трка ако тие не биле достапни во соодветниот контекст. Исто така, експерименталните артефакти се одвоени од deployed joblib датотеките, за неуспешен или нецелосен run да не ја промени апликацијата.</w:t>
      </w:r>
    </w:p>
    <w:p w14:paraId="55F9A3F7"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lastRenderedPageBreak/>
        <w:t>4. Технологии и алатки</w:t>
      </w:r>
    </w:p>
    <w:p w14:paraId="651423DA"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Серверската компонента е имплементирана со Python и FastAPI. Рамката обезбедува декларативна валидација преку Pydantic, генерирање OpenAPI спецификација и јасна организација на зависностите. SQLAlchemy 2.0 се користи за мапирање на релацискиот модел, а Alembic за управување со еволуцијата на шемата. Централизираното обработување на грешки и идентификаторот на барањето овозможуваат поедноставно следење на проблеми при користење на API.</w:t>
      </w:r>
    </w:p>
    <w:p w14:paraId="50B05C54"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За работа со податоци и моделирање се користат FastF1, pandas, NumPy, scikit-learn, XGBoost, LightGBM и joblib. Претпроцесирањето е поставено во scikit-learn pipeline, така што импутацијата и стандардизацијата се учат само од редовите за тренирање на релевантната временска поделба. Ова не е само имплементациски детал: со него се спречува информацијата од валидациските и завршните редови да влијае врз параметрите на трансформацијата.</w:t>
      </w:r>
    </w:p>
    <w:p w14:paraId="6CC99BD0" w14:textId="0D3F2E78" w:rsidR="00CA65E3" w:rsidRPr="00621FDB" w:rsidRDefault="00000000">
      <w:pPr>
        <w:rPr>
          <w:rFonts w:ascii="Times New Roman" w:hAnsi="Times New Roman" w:cs="Times New Roman"/>
          <w:lang w:val="mk-MK"/>
        </w:rPr>
      </w:pPr>
      <w:r w:rsidRPr="001766B7">
        <w:rPr>
          <w:rFonts w:ascii="Times New Roman" w:eastAsia="Calibri" w:hAnsi="Times New Roman" w:cs="Times New Roman"/>
        </w:rPr>
        <w:t>Клиентската компонента е изработена со React, TypeScript и Vite. TanStack React Query управува со кеширање, повторно вчитување и состојби на грешка при повици кон API, Recharts се користи за графички прикази, а Tailwind CSS ја одржува визуелната конзистентност. Docker Compose ги опишува зависните услуги и овозможува повторливо стартување на развојната околина.</w:t>
      </w:r>
    </w:p>
    <w:p w14:paraId="0D6B772C" w14:textId="4BE65F00" w:rsidR="00CA65E3" w:rsidRPr="001766B7" w:rsidRDefault="00621FDB">
      <w:pPr>
        <w:pStyle w:val="Heading1"/>
        <w:rPr>
          <w:rFonts w:ascii="Times New Roman" w:hAnsi="Times New Roman" w:cs="Times New Roman"/>
        </w:rPr>
      </w:pPr>
      <w:r>
        <w:rPr>
          <w:rFonts w:ascii="Times New Roman" w:hAnsi="Times New Roman" w:cs="Times New Roman"/>
          <w:lang w:val="mk-MK"/>
        </w:rPr>
        <w:br/>
      </w:r>
      <w:r w:rsidR="00000000" w:rsidRPr="001766B7">
        <w:rPr>
          <w:rFonts w:ascii="Times New Roman" w:hAnsi="Times New Roman" w:cs="Times New Roman"/>
        </w:rPr>
        <w:t>5. Модел на податоци</w:t>
      </w:r>
    </w:p>
    <w:p w14:paraId="6EC78928" w14:textId="77777777" w:rsidR="00CA65E3" w:rsidRPr="001766B7" w:rsidRDefault="00000000" w:rsidP="001766B7">
      <w:pPr>
        <w:spacing w:line="360" w:lineRule="auto"/>
        <w:rPr>
          <w:rFonts w:ascii="Times New Roman" w:hAnsi="Times New Roman" w:cs="Times New Roman"/>
        </w:rPr>
      </w:pPr>
      <w:r w:rsidRPr="001766B7">
        <w:rPr>
          <w:rFonts w:ascii="Times New Roman" w:eastAsia="Calibri" w:hAnsi="Times New Roman" w:cs="Times New Roman"/>
        </w:rPr>
        <w:t>Релацискиот модел е поставен околу сезоните, трките, возачите, тимовите и резултатите. Табелите seasons и races обезбедуваат временска и календарска структура; drivers и teams го чуваат идентитетот на учесниците; race_results и qualifying_results ги содржат исходите и квалификациските записи. lap_times и weather_data се сурови детални извори, додека ml_features и predictions се наменети за ML workflow-от и апликациските предвидувања.</w:t>
      </w:r>
    </w:p>
    <w:tbl>
      <w:tblPr>
        <w:tblStyle w:val="TableGrid"/>
        <w:tblW w:w="9360" w:type="dxa"/>
        <w:tblInd w:w="120" w:type="dxa"/>
        <w:tblLayout w:type="fixed"/>
        <w:tblLook w:val="04A0" w:firstRow="1" w:lastRow="0" w:firstColumn="1" w:lastColumn="0" w:noHBand="0" w:noVBand="1"/>
      </w:tblPr>
      <w:tblGrid>
        <w:gridCol w:w="1800"/>
        <w:gridCol w:w="4700"/>
        <w:gridCol w:w="2860"/>
      </w:tblGrid>
      <w:tr w:rsidR="00CA65E3" w:rsidRPr="001766B7" w14:paraId="3D408BF8" w14:textId="77777777">
        <w:trPr>
          <w:tblHeader/>
        </w:trPr>
        <w:tc>
          <w:tcPr>
            <w:tcW w:w="1800" w:type="dxa"/>
            <w:shd w:val="clear" w:color="auto" w:fill="F4F6F9"/>
            <w:tcMar>
              <w:top w:w="80" w:type="dxa"/>
              <w:left w:w="120" w:type="dxa"/>
              <w:bottom w:w="80" w:type="dxa"/>
              <w:right w:w="120" w:type="dxa"/>
            </w:tcMar>
            <w:vAlign w:val="center"/>
          </w:tcPr>
          <w:p w14:paraId="77E5A9E1"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8"/>
              </w:rPr>
              <w:t>Табела</w:t>
            </w:r>
          </w:p>
        </w:tc>
        <w:tc>
          <w:tcPr>
            <w:tcW w:w="4700" w:type="dxa"/>
            <w:shd w:val="clear" w:color="auto" w:fill="F4F6F9"/>
            <w:tcMar>
              <w:top w:w="80" w:type="dxa"/>
              <w:left w:w="120" w:type="dxa"/>
              <w:bottom w:w="80" w:type="dxa"/>
              <w:right w:w="120" w:type="dxa"/>
            </w:tcMar>
            <w:vAlign w:val="center"/>
          </w:tcPr>
          <w:p w14:paraId="40B321BC"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8"/>
              </w:rPr>
              <w:t>Улога во тезата</w:t>
            </w:r>
          </w:p>
        </w:tc>
        <w:tc>
          <w:tcPr>
            <w:tcW w:w="2860" w:type="dxa"/>
            <w:shd w:val="clear" w:color="auto" w:fill="F4F6F9"/>
            <w:tcMar>
              <w:top w:w="80" w:type="dxa"/>
              <w:left w:w="120" w:type="dxa"/>
              <w:bottom w:w="80" w:type="dxa"/>
              <w:right w:w="120" w:type="dxa"/>
            </w:tcMar>
            <w:vAlign w:val="center"/>
          </w:tcPr>
          <w:p w14:paraId="33221306"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8"/>
              </w:rPr>
              <w:t>Клучна контрола</w:t>
            </w:r>
          </w:p>
        </w:tc>
      </w:tr>
      <w:tr w:rsidR="00CA65E3" w:rsidRPr="001766B7" w14:paraId="279FF893" w14:textId="77777777">
        <w:tc>
          <w:tcPr>
            <w:tcW w:w="1800" w:type="dxa"/>
            <w:tcMar>
              <w:top w:w="80" w:type="dxa"/>
              <w:left w:w="120" w:type="dxa"/>
              <w:bottom w:w="80" w:type="dxa"/>
              <w:right w:w="120" w:type="dxa"/>
            </w:tcMar>
            <w:vAlign w:val="center"/>
          </w:tcPr>
          <w:p w14:paraId="70468B2C"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t>seasons / races</w:t>
            </w:r>
          </w:p>
        </w:tc>
        <w:tc>
          <w:tcPr>
            <w:tcW w:w="4700" w:type="dxa"/>
            <w:tcMar>
              <w:top w:w="80" w:type="dxa"/>
              <w:left w:w="120" w:type="dxa"/>
              <w:bottom w:w="80" w:type="dxa"/>
              <w:right w:w="120" w:type="dxa"/>
            </w:tcMar>
            <w:vAlign w:val="center"/>
          </w:tcPr>
          <w:p w14:paraId="5D560E45"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Календар, редослед и дати на настаните</w:t>
            </w:r>
          </w:p>
        </w:tc>
        <w:tc>
          <w:tcPr>
            <w:tcW w:w="2860" w:type="dxa"/>
            <w:tcMar>
              <w:top w:w="80" w:type="dxa"/>
              <w:left w:w="120" w:type="dxa"/>
              <w:bottom w:w="80" w:type="dxa"/>
              <w:right w:w="120" w:type="dxa"/>
            </w:tcMar>
            <w:vAlign w:val="center"/>
          </w:tcPr>
          <w:p w14:paraId="496E4D80"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Проверка дека сезоната е целосна пред евалуација</w:t>
            </w:r>
          </w:p>
        </w:tc>
      </w:tr>
      <w:tr w:rsidR="00CA65E3" w:rsidRPr="001766B7" w14:paraId="515CF98D" w14:textId="77777777">
        <w:tc>
          <w:tcPr>
            <w:tcW w:w="1800" w:type="dxa"/>
            <w:tcMar>
              <w:top w:w="80" w:type="dxa"/>
              <w:left w:w="120" w:type="dxa"/>
              <w:bottom w:w="80" w:type="dxa"/>
              <w:right w:w="120" w:type="dxa"/>
            </w:tcMar>
            <w:vAlign w:val="center"/>
          </w:tcPr>
          <w:p w14:paraId="3F0FE769"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t>race_results</w:t>
            </w:r>
          </w:p>
        </w:tc>
        <w:tc>
          <w:tcPr>
            <w:tcW w:w="4700" w:type="dxa"/>
            <w:tcMar>
              <w:top w:w="80" w:type="dxa"/>
              <w:left w:w="120" w:type="dxa"/>
              <w:bottom w:w="80" w:type="dxa"/>
              <w:right w:w="120" w:type="dxa"/>
            </w:tcMar>
            <w:vAlign w:val="center"/>
          </w:tcPr>
          <w:p w14:paraId="602D6FF9"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Фиксни target вредности и grid позиција</w:t>
            </w:r>
          </w:p>
        </w:tc>
        <w:tc>
          <w:tcPr>
            <w:tcW w:w="2860" w:type="dxa"/>
            <w:tcMar>
              <w:top w:w="80" w:type="dxa"/>
              <w:left w:w="120" w:type="dxa"/>
              <w:bottom w:w="80" w:type="dxa"/>
              <w:right w:w="120" w:type="dxa"/>
            </w:tcMar>
            <w:vAlign w:val="center"/>
          </w:tcPr>
          <w:p w14:paraId="4A2D9293"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Нема импутирање на недостасни target labels</w:t>
            </w:r>
          </w:p>
        </w:tc>
      </w:tr>
      <w:tr w:rsidR="00CA65E3" w:rsidRPr="001766B7" w14:paraId="3896FDCB" w14:textId="77777777">
        <w:tc>
          <w:tcPr>
            <w:tcW w:w="1800" w:type="dxa"/>
            <w:tcMar>
              <w:top w:w="80" w:type="dxa"/>
              <w:left w:w="120" w:type="dxa"/>
              <w:bottom w:w="80" w:type="dxa"/>
              <w:right w:w="120" w:type="dxa"/>
            </w:tcMar>
            <w:vAlign w:val="center"/>
          </w:tcPr>
          <w:p w14:paraId="76DE827E"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t>qualifying_results</w:t>
            </w:r>
          </w:p>
        </w:tc>
        <w:tc>
          <w:tcPr>
            <w:tcW w:w="4700" w:type="dxa"/>
            <w:tcMar>
              <w:top w:w="80" w:type="dxa"/>
              <w:left w:w="120" w:type="dxa"/>
              <w:bottom w:w="80" w:type="dxa"/>
              <w:right w:w="120" w:type="dxa"/>
            </w:tcMar>
            <w:vAlign w:val="center"/>
          </w:tcPr>
          <w:p w14:paraId="514107AB"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Квалификациски позиција и gap до pole</w:t>
            </w:r>
          </w:p>
        </w:tc>
        <w:tc>
          <w:tcPr>
            <w:tcW w:w="2860" w:type="dxa"/>
            <w:tcMar>
              <w:top w:w="80" w:type="dxa"/>
              <w:left w:w="120" w:type="dxa"/>
              <w:bottom w:w="80" w:type="dxa"/>
              <w:right w:w="120" w:type="dxa"/>
            </w:tcMar>
            <w:vAlign w:val="center"/>
          </w:tcPr>
          <w:p w14:paraId="46D01A8A"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Достапни само во post-qualifying контекст</w:t>
            </w:r>
          </w:p>
        </w:tc>
      </w:tr>
      <w:tr w:rsidR="00CA65E3" w:rsidRPr="001766B7" w14:paraId="77D479CC" w14:textId="77777777">
        <w:tc>
          <w:tcPr>
            <w:tcW w:w="1800" w:type="dxa"/>
            <w:tcMar>
              <w:top w:w="80" w:type="dxa"/>
              <w:left w:w="120" w:type="dxa"/>
              <w:bottom w:w="80" w:type="dxa"/>
              <w:right w:w="120" w:type="dxa"/>
            </w:tcMar>
            <w:vAlign w:val="center"/>
          </w:tcPr>
          <w:p w14:paraId="13933089"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t>lap_times</w:t>
            </w:r>
          </w:p>
        </w:tc>
        <w:tc>
          <w:tcPr>
            <w:tcW w:w="4700" w:type="dxa"/>
            <w:tcMar>
              <w:top w:w="80" w:type="dxa"/>
              <w:left w:w="120" w:type="dxa"/>
              <w:bottom w:w="80" w:type="dxa"/>
              <w:right w:w="120" w:type="dxa"/>
            </w:tcMar>
            <w:vAlign w:val="center"/>
          </w:tcPr>
          <w:p w14:paraId="10B9BECE"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Историски clean-lap темпо</w:t>
            </w:r>
          </w:p>
        </w:tc>
        <w:tc>
          <w:tcPr>
            <w:tcW w:w="2860" w:type="dxa"/>
            <w:tcMar>
              <w:top w:w="80" w:type="dxa"/>
              <w:left w:w="120" w:type="dxa"/>
              <w:bottom w:w="80" w:type="dxa"/>
              <w:right w:w="120" w:type="dxa"/>
            </w:tcMar>
            <w:vAlign w:val="center"/>
          </w:tcPr>
          <w:p w14:paraId="40D99FCE"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Се користат само претходни трки</w:t>
            </w:r>
          </w:p>
        </w:tc>
      </w:tr>
      <w:tr w:rsidR="00CA65E3" w:rsidRPr="001766B7" w14:paraId="3F41439A" w14:textId="77777777">
        <w:tc>
          <w:tcPr>
            <w:tcW w:w="1800" w:type="dxa"/>
            <w:tcMar>
              <w:top w:w="80" w:type="dxa"/>
              <w:left w:w="120" w:type="dxa"/>
              <w:bottom w:w="80" w:type="dxa"/>
              <w:right w:w="120" w:type="dxa"/>
            </w:tcMar>
            <w:vAlign w:val="center"/>
          </w:tcPr>
          <w:p w14:paraId="2D5190C1"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t>ml_features</w:t>
            </w:r>
          </w:p>
        </w:tc>
        <w:tc>
          <w:tcPr>
            <w:tcW w:w="4700" w:type="dxa"/>
            <w:tcMar>
              <w:top w:w="80" w:type="dxa"/>
              <w:left w:w="120" w:type="dxa"/>
              <w:bottom w:w="80" w:type="dxa"/>
              <w:right w:w="120" w:type="dxa"/>
            </w:tcMar>
            <w:vAlign w:val="center"/>
          </w:tcPr>
          <w:p w14:paraId="2D2B0984"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Feature редови по возач–трка и контекст</w:t>
            </w:r>
          </w:p>
        </w:tc>
        <w:tc>
          <w:tcPr>
            <w:tcW w:w="2860" w:type="dxa"/>
            <w:tcMar>
              <w:top w:w="80" w:type="dxa"/>
              <w:left w:w="120" w:type="dxa"/>
              <w:bottom w:w="80" w:type="dxa"/>
              <w:right w:w="120" w:type="dxa"/>
            </w:tcMar>
            <w:vAlign w:val="center"/>
          </w:tcPr>
          <w:p w14:paraId="6718D8C7"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Контекстот е изречен feature contract</w:t>
            </w:r>
          </w:p>
        </w:tc>
      </w:tr>
      <w:tr w:rsidR="00CA65E3" w:rsidRPr="001766B7" w14:paraId="1F2DD370" w14:textId="77777777">
        <w:tc>
          <w:tcPr>
            <w:tcW w:w="1800" w:type="dxa"/>
            <w:tcMar>
              <w:top w:w="80" w:type="dxa"/>
              <w:left w:w="120" w:type="dxa"/>
              <w:bottom w:w="80" w:type="dxa"/>
              <w:right w:w="120" w:type="dxa"/>
            </w:tcMar>
            <w:vAlign w:val="center"/>
          </w:tcPr>
          <w:p w14:paraId="45CB47B5"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lastRenderedPageBreak/>
              <w:t>predictions</w:t>
            </w:r>
          </w:p>
        </w:tc>
        <w:tc>
          <w:tcPr>
            <w:tcW w:w="4700" w:type="dxa"/>
            <w:tcMar>
              <w:top w:w="80" w:type="dxa"/>
              <w:left w:w="120" w:type="dxa"/>
              <w:bottom w:w="80" w:type="dxa"/>
              <w:right w:w="120" w:type="dxa"/>
            </w:tcMar>
            <w:vAlign w:val="center"/>
          </w:tcPr>
          <w:p w14:paraId="228ABFA6"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Оперативни предвидувања и верзија на модел</w:t>
            </w:r>
          </w:p>
        </w:tc>
        <w:tc>
          <w:tcPr>
            <w:tcW w:w="2860" w:type="dxa"/>
            <w:tcMar>
              <w:top w:w="80" w:type="dxa"/>
              <w:left w:w="120" w:type="dxa"/>
              <w:bottom w:w="80" w:type="dxa"/>
              <w:right w:w="120" w:type="dxa"/>
            </w:tcMar>
            <w:vAlign w:val="center"/>
          </w:tcPr>
          <w:p w14:paraId="3FE7156D"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Контекст и моделска верзија се зачувани</w:t>
            </w:r>
          </w:p>
        </w:tc>
      </w:tr>
    </w:tbl>
    <w:p w14:paraId="3C152530" w14:textId="77777777" w:rsidR="00CA65E3" w:rsidRPr="001766B7" w:rsidRDefault="00CA65E3">
      <w:pPr>
        <w:spacing w:after="60"/>
        <w:rPr>
          <w:rFonts w:ascii="Times New Roman" w:hAnsi="Times New Roman" w:cs="Times New Roman"/>
        </w:rPr>
      </w:pPr>
    </w:p>
    <w:p w14:paraId="12407071" w14:textId="77777777" w:rsidR="00CA65E3" w:rsidRPr="001766B7" w:rsidRDefault="00000000">
      <w:pPr>
        <w:spacing w:before="80" w:after="40"/>
        <w:jc w:val="center"/>
        <w:rPr>
          <w:rFonts w:ascii="Times New Roman" w:hAnsi="Times New Roman" w:cs="Times New Roman"/>
        </w:rPr>
      </w:pPr>
      <w:r w:rsidRPr="001766B7">
        <w:rPr>
          <w:rFonts w:ascii="Times New Roman" w:hAnsi="Times New Roman" w:cs="Times New Roman"/>
          <w:noProof/>
        </w:rPr>
        <w:drawing>
          <wp:inline distT="0" distB="0" distL="0" distR="0" wp14:anchorId="20E8C336" wp14:editId="5F1234BB">
            <wp:extent cx="4519024" cy="3903784"/>
            <wp:effectExtent l="0" t="0" r="0" b="1905"/>
            <wp:docPr id="2" name="Picture 2" descr="2. Концептуален приказ на релациите во базата на податоци. Адаптирано од проектната документација." title="2. Концептуален приказ на релациите во базата на податоци. Адаптирано од проектната документациј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4559724" cy="3938943"/>
                    </a:xfrm>
                    <a:prstGeom prst="rect">
                      <a:avLst/>
                    </a:prstGeom>
                  </pic:spPr>
                </pic:pic>
              </a:graphicData>
            </a:graphic>
          </wp:inline>
        </w:drawing>
      </w:r>
    </w:p>
    <w:p w14:paraId="52BA30E5" w14:textId="0C72EB82" w:rsidR="00CA65E3" w:rsidRPr="00621FDB" w:rsidRDefault="00000000" w:rsidP="001766B7">
      <w:pPr>
        <w:spacing w:before="60" w:after="180"/>
        <w:jc w:val="center"/>
        <w:rPr>
          <w:rFonts w:ascii="Times New Roman" w:hAnsi="Times New Roman" w:cs="Times New Roman"/>
          <w:lang w:val="mk-MK"/>
        </w:rPr>
      </w:pPr>
      <w:r w:rsidRPr="001766B7">
        <w:rPr>
          <w:rFonts w:ascii="Times New Roman" w:eastAsia="Calibri" w:hAnsi="Times New Roman" w:cs="Times New Roman"/>
          <w:i/>
          <w:color w:val="667085"/>
          <w:sz w:val="19"/>
        </w:rPr>
        <w:t>Слика 2. Концептуален приказ на релациите во базата на податоци</w:t>
      </w:r>
      <w:r w:rsidR="00621FDB">
        <w:rPr>
          <w:rFonts w:ascii="Times New Roman" w:eastAsia="Calibri" w:hAnsi="Times New Roman" w:cs="Times New Roman"/>
          <w:i/>
          <w:color w:val="667085"/>
          <w:sz w:val="19"/>
          <w:lang w:val="mk-MK"/>
        </w:rPr>
        <w:br/>
      </w:r>
    </w:p>
    <w:p w14:paraId="4BF2A0F3"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6. Прибирање и обработка на податоци</w:t>
      </w:r>
    </w:p>
    <w:p w14:paraId="3615695D"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Скриптите за прибирање ги внесуваат основните информации за сезони, трки, возачи и тимови, а потоа резултатите, квалификациските записи, временските редови по круг и достапните метеоролошки податоци. Оваа фаза е намерно раздвоена од тренирањето: нејзина задача е да создаде конзистентна и проверлива снимка на податоците, врз која подоцна се градат карактеристиките и временските поделби.</w:t>
      </w:r>
    </w:p>
    <w:p w14:paraId="6E77DB84"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Инженерството на карактеристики користи само трки што временски ѝ претходат на целната трка. Од нив се извлекуваат историско темпо, понова форма на возачот и тимот, историја на конкретната патека и стапки на незавршување. Во контекстот пред квалификации не се користат стартна позиција, квалификациска позиција ниту заостанување зад пол-позицијата. По квалификации, овие три променливи се додаваат затоа што се достапни пред самата трка.</w:t>
      </w:r>
    </w:p>
    <w:p w14:paraId="072D42C7" w14:textId="1CC47E16" w:rsidR="00CA65E3" w:rsidRPr="00621FDB" w:rsidRDefault="00000000">
      <w:pPr>
        <w:rPr>
          <w:rFonts w:ascii="Times New Roman" w:hAnsi="Times New Roman" w:cs="Times New Roman"/>
          <w:lang w:val="mk-MK"/>
        </w:rPr>
      </w:pPr>
      <w:r w:rsidRPr="001766B7">
        <w:rPr>
          <w:rFonts w:ascii="Times New Roman" w:eastAsia="Calibri" w:hAnsi="Times New Roman" w:cs="Times New Roman"/>
        </w:rPr>
        <w:lastRenderedPageBreak/>
        <w:t>Во тезинските експерименти метеоролошките променливи за целната трка се исклучени. Постоечката агрегација не гарантира дека секоја вредност потекнува од предтркачка прогноза или од запис достапен пред определениот временски пресек. Нивното задржување би можело да внесе информација од периодот на трката, па исклучувањето е методолошка заштита од истекување, а не промена на истражувачките цели.</w:t>
      </w:r>
    </w:p>
    <w:p w14:paraId="6E678E74"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2021, 2023, 2024 и 2025 се прифатени како сезони со комплетна race и qualifying покриеност;</w:t>
      </w:r>
    </w:p>
    <w:p w14:paraId="15D0E0E5"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2022 е исклучена бидејќи има qualifying записи, но нема race-result редови;</w:t>
      </w:r>
    </w:p>
    <w:p w14:paraId="09506246" w14:textId="18DFFCAD"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 xml:space="preserve">2026 е исклучена бидејќи </w:t>
      </w:r>
      <w:r w:rsidR="00621FDB">
        <w:rPr>
          <w:rFonts w:ascii="Times New Roman" w:eastAsia="Calibri" w:hAnsi="Times New Roman" w:cs="Times New Roman"/>
          <w:lang w:val="mk-MK"/>
        </w:rPr>
        <w:t xml:space="preserve">не е завршена сезона и содржи </w:t>
      </w:r>
      <w:r w:rsidRPr="001766B7">
        <w:rPr>
          <w:rFonts w:ascii="Times New Roman" w:eastAsia="Calibri" w:hAnsi="Times New Roman" w:cs="Times New Roman"/>
        </w:rPr>
        <w:t>делумни резултати;</w:t>
      </w:r>
    </w:p>
    <w:p w14:paraId="2A0D99A3" w14:textId="4E83BFDC" w:rsidR="00CA65E3" w:rsidRPr="00621FDB" w:rsidRDefault="00000000" w:rsidP="00621FDB">
      <w:pPr>
        <w:pStyle w:val="ListBullet"/>
        <w:jc w:val="left"/>
        <w:rPr>
          <w:rFonts w:ascii="Times New Roman" w:hAnsi="Times New Roman" w:cs="Times New Roman"/>
        </w:rPr>
      </w:pPr>
      <w:r w:rsidRPr="001766B7">
        <w:rPr>
          <w:rFonts w:ascii="Times New Roman" w:eastAsia="Calibri" w:hAnsi="Times New Roman" w:cs="Times New Roman"/>
        </w:rPr>
        <w:t>секоја сезона за евалуација мора да мине fail-closed проверка за број на трки, резултати, квалификации и немање идни настани.</w:t>
      </w:r>
      <w:r w:rsidR="00621FDB">
        <w:rPr>
          <w:rFonts w:ascii="Times New Roman" w:hAnsi="Times New Roman" w:cs="Times New Roman"/>
          <w:lang w:val="mk-MK"/>
        </w:rPr>
        <w:br/>
      </w:r>
    </w:p>
    <w:p w14:paraId="66CBC486"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7. Машинско учење и предвидувања</w:t>
      </w:r>
    </w:p>
    <w:p w14:paraId="323F3F5E"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7.1 Фиксни задачи, targets и метрики</w:t>
      </w:r>
    </w:p>
    <w:p w14:paraId="3F6EC833" w14:textId="3BDD503A" w:rsidR="00CA65E3" w:rsidRPr="00621FDB" w:rsidRDefault="00000000" w:rsidP="00621FDB">
      <w:pPr>
        <w:jc w:val="left"/>
        <w:rPr>
          <w:rFonts w:ascii="Times New Roman" w:hAnsi="Times New Roman" w:cs="Times New Roman"/>
          <w:lang w:val="mk-MK"/>
        </w:rPr>
      </w:pPr>
      <w:r w:rsidRPr="001766B7">
        <w:rPr>
          <w:rFonts w:ascii="Times New Roman" w:eastAsia="Calibri" w:hAnsi="Times New Roman" w:cs="Times New Roman"/>
        </w:rPr>
        <w:t>Четирите целни променливи се дефинирани независно од алгоритмот. Завршната позиција се презема од официјално внесениот класифициран поредок</w:t>
      </w:r>
      <w:r w:rsidR="00621FDB">
        <w:rPr>
          <w:rFonts w:ascii="Times New Roman" w:eastAsia="Calibri" w:hAnsi="Times New Roman" w:cs="Times New Roman"/>
          <w:lang w:val="mk-MK"/>
        </w:rPr>
        <w:t>,</w:t>
      </w:r>
      <w:r w:rsidRPr="001766B7">
        <w:rPr>
          <w:rFonts w:ascii="Times New Roman" w:eastAsia="Calibri" w:hAnsi="Times New Roman" w:cs="Times New Roman"/>
        </w:rPr>
        <w:t xml:space="preserve"> пласманот во првите десет и на подиум се бинарни настани</w:t>
      </w:r>
      <w:r w:rsidR="00621FDB">
        <w:rPr>
          <w:rFonts w:ascii="Times New Roman" w:eastAsia="Calibri" w:hAnsi="Times New Roman" w:cs="Times New Roman"/>
          <w:lang w:val="mk-MK"/>
        </w:rPr>
        <w:t xml:space="preserve">, </w:t>
      </w:r>
      <w:r w:rsidRPr="001766B7">
        <w:rPr>
          <w:rFonts w:ascii="Times New Roman" w:eastAsia="Calibri" w:hAnsi="Times New Roman" w:cs="Times New Roman"/>
        </w:rPr>
        <w:t>а промената на позиции се пресметува како разлика меѓу стартната и завршната позиција. Редови без неопходниот исход не се дополнуваат со претпоставени вредности и не влегуваат во соодветната задача. Таквиот пристап ја зачувува семантиката на целите и спречува создавање вештачки примери.</w:t>
      </w:r>
      <w:r w:rsidR="00621FDB">
        <w:rPr>
          <w:rFonts w:ascii="Times New Roman" w:hAnsi="Times New Roman" w:cs="Times New Roman"/>
          <w:lang w:val="mk-MK"/>
        </w:rPr>
        <w:br/>
      </w:r>
    </w:p>
    <w:tbl>
      <w:tblPr>
        <w:tblStyle w:val="TableGrid"/>
        <w:tblW w:w="9360" w:type="dxa"/>
        <w:tblInd w:w="120" w:type="dxa"/>
        <w:tblLayout w:type="fixed"/>
        <w:tblLook w:val="04A0" w:firstRow="1" w:lastRow="0" w:firstColumn="1" w:lastColumn="0" w:noHBand="0" w:noVBand="1"/>
      </w:tblPr>
      <w:tblGrid>
        <w:gridCol w:w="2450"/>
        <w:gridCol w:w="2050"/>
        <w:gridCol w:w="4860"/>
      </w:tblGrid>
      <w:tr w:rsidR="00CA65E3" w:rsidRPr="001766B7" w14:paraId="5C59351D" w14:textId="77777777">
        <w:trPr>
          <w:tblHeader/>
        </w:trPr>
        <w:tc>
          <w:tcPr>
            <w:tcW w:w="2450" w:type="dxa"/>
            <w:shd w:val="clear" w:color="auto" w:fill="F4F6F9"/>
            <w:tcMar>
              <w:top w:w="80" w:type="dxa"/>
              <w:left w:w="120" w:type="dxa"/>
              <w:bottom w:w="80" w:type="dxa"/>
              <w:right w:w="120" w:type="dxa"/>
            </w:tcMar>
            <w:vAlign w:val="center"/>
          </w:tcPr>
          <w:p w14:paraId="18031835"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8"/>
              </w:rPr>
              <w:t>Задача</w:t>
            </w:r>
          </w:p>
        </w:tc>
        <w:tc>
          <w:tcPr>
            <w:tcW w:w="2050" w:type="dxa"/>
            <w:shd w:val="clear" w:color="auto" w:fill="F4F6F9"/>
            <w:tcMar>
              <w:top w:w="80" w:type="dxa"/>
              <w:left w:w="120" w:type="dxa"/>
              <w:bottom w:w="80" w:type="dxa"/>
              <w:right w:w="120" w:type="dxa"/>
            </w:tcMar>
            <w:vAlign w:val="center"/>
          </w:tcPr>
          <w:p w14:paraId="49C46E43"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8"/>
              </w:rPr>
              <w:t>Primary metric</w:t>
            </w:r>
          </w:p>
        </w:tc>
        <w:tc>
          <w:tcPr>
            <w:tcW w:w="4860" w:type="dxa"/>
            <w:shd w:val="clear" w:color="auto" w:fill="F4F6F9"/>
            <w:tcMar>
              <w:top w:w="80" w:type="dxa"/>
              <w:left w:w="120" w:type="dxa"/>
              <w:bottom w:w="80" w:type="dxa"/>
              <w:right w:w="120" w:type="dxa"/>
            </w:tcMar>
            <w:vAlign w:val="center"/>
          </w:tcPr>
          <w:p w14:paraId="0FC6E559"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8"/>
              </w:rPr>
              <w:t>Secondary evidence</w:t>
            </w:r>
          </w:p>
        </w:tc>
      </w:tr>
      <w:tr w:rsidR="00CA65E3" w:rsidRPr="001766B7" w14:paraId="1D76AAA7" w14:textId="77777777">
        <w:tc>
          <w:tcPr>
            <w:tcW w:w="2450" w:type="dxa"/>
            <w:tcMar>
              <w:top w:w="80" w:type="dxa"/>
              <w:left w:w="120" w:type="dxa"/>
              <w:bottom w:w="80" w:type="dxa"/>
              <w:right w:w="120" w:type="dxa"/>
            </w:tcMar>
            <w:vAlign w:val="center"/>
          </w:tcPr>
          <w:p w14:paraId="655772B3"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t>Завршна позиција</w:t>
            </w:r>
          </w:p>
        </w:tc>
        <w:tc>
          <w:tcPr>
            <w:tcW w:w="2050" w:type="dxa"/>
            <w:tcMar>
              <w:top w:w="80" w:type="dxa"/>
              <w:left w:w="120" w:type="dxa"/>
              <w:bottom w:w="80" w:type="dxa"/>
              <w:right w:w="120" w:type="dxa"/>
            </w:tcMar>
            <w:vAlign w:val="center"/>
          </w:tcPr>
          <w:p w14:paraId="66D81CB5"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MAE</w:t>
            </w:r>
          </w:p>
        </w:tc>
        <w:tc>
          <w:tcPr>
            <w:tcW w:w="4860" w:type="dxa"/>
            <w:tcMar>
              <w:top w:w="80" w:type="dxa"/>
              <w:left w:w="120" w:type="dxa"/>
              <w:bottom w:w="80" w:type="dxa"/>
              <w:right w:w="120" w:type="dxa"/>
            </w:tcMar>
            <w:vAlign w:val="center"/>
          </w:tcPr>
          <w:p w14:paraId="0BD24A3D"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RMSE, R², mean per-race Spearman</w:t>
            </w:r>
          </w:p>
        </w:tc>
      </w:tr>
      <w:tr w:rsidR="00CA65E3" w:rsidRPr="001766B7" w14:paraId="132D0FD9" w14:textId="77777777">
        <w:tc>
          <w:tcPr>
            <w:tcW w:w="2450" w:type="dxa"/>
            <w:tcMar>
              <w:top w:w="80" w:type="dxa"/>
              <w:left w:w="120" w:type="dxa"/>
              <w:bottom w:w="80" w:type="dxa"/>
              <w:right w:w="120" w:type="dxa"/>
            </w:tcMar>
            <w:vAlign w:val="center"/>
          </w:tcPr>
          <w:p w14:paraId="6C7D8DC0"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t>Top 10</w:t>
            </w:r>
          </w:p>
        </w:tc>
        <w:tc>
          <w:tcPr>
            <w:tcW w:w="2050" w:type="dxa"/>
            <w:tcMar>
              <w:top w:w="80" w:type="dxa"/>
              <w:left w:w="120" w:type="dxa"/>
              <w:bottom w:w="80" w:type="dxa"/>
              <w:right w:w="120" w:type="dxa"/>
            </w:tcMar>
            <w:vAlign w:val="center"/>
          </w:tcPr>
          <w:p w14:paraId="27B3EAB9"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ROC-AUC</w:t>
            </w:r>
          </w:p>
        </w:tc>
        <w:tc>
          <w:tcPr>
            <w:tcW w:w="4860" w:type="dxa"/>
            <w:tcMar>
              <w:top w:w="80" w:type="dxa"/>
              <w:left w:w="120" w:type="dxa"/>
              <w:bottom w:w="80" w:type="dxa"/>
              <w:right w:w="120" w:type="dxa"/>
            </w:tcMar>
            <w:vAlign w:val="center"/>
          </w:tcPr>
          <w:p w14:paraId="3C408B4E"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PR-AUC, F1, precision, recall, balanced accuracy, Brier, log loss</w:t>
            </w:r>
          </w:p>
        </w:tc>
      </w:tr>
      <w:tr w:rsidR="00CA65E3" w:rsidRPr="001766B7" w14:paraId="28D4C747" w14:textId="77777777">
        <w:tc>
          <w:tcPr>
            <w:tcW w:w="2450" w:type="dxa"/>
            <w:tcMar>
              <w:top w:w="80" w:type="dxa"/>
              <w:left w:w="120" w:type="dxa"/>
              <w:bottom w:w="80" w:type="dxa"/>
              <w:right w:w="120" w:type="dxa"/>
            </w:tcMar>
            <w:vAlign w:val="center"/>
          </w:tcPr>
          <w:p w14:paraId="42C5A982"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t>Podium</w:t>
            </w:r>
          </w:p>
        </w:tc>
        <w:tc>
          <w:tcPr>
            <w:tcW w:w="2050" w:type="dxa"/>
            <w:tcMar>
              <w:top w:w="80" w:type="dxa"/>
              <w:left w:w="120" w:type="dxa"/>
              <w:bottom w:w="80" w:type="dxa"/>
              <w:right w:w="120" w:type="dxa"/>
            </w:tcMar>
            <w:vAlign w:val="center"/>
          </w:tcPr>
          <w:p w14:paraId="3404CA7A"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PR-AUC</w:t>
            </w:r>
          </w:p>
        </w:tc>
        <w:tc>
          <w:tcPr>
            <w:tcW w:w="4860" w:type="dxa"/>
            <w:tcMar>
              <w:top w:w="80" w:type="dxa"/>
              <w:left w:w="120" w:type="dxa"/>
              <w:bottom w:w="80" w:type="dxa"/>
              <w:right w:w="120" w:type="dxa"/>
            </w:tcMar>
            <w:vAlign w:val="center"/>
          </w:tcPr>
          <w:p w14:paraId="36D87387"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ROC-AUC, F1, precision, recall, balanced accuracy, Brier, log loss</w:t>
            </w:r>
          </w:p>
        </w:tc>
      </w:tr>
      <w:tr w:rsidR="00CA65E3" w:rsidRPr="001766B7" w14:paraId="190C65BC" w14:textId="77777777">
        <w:tc>
          <w:tcPr>
            <w:tcW w:w="2450" w:type="dxa"/>
            <w:tcMar>
              <w:top w:w="80" w:type="dxa"/>
              <w:left w:w="120" w:type="dxa"/>
              <w:bottom w:w="80" w:type="dxa"/>
              <w:right w:w="120" w:type="dxa"/>
            </w:tcMar>
            <w:vAlign w:val="center"/>
          </w:tcPr>
          <w:p w14:paraId="05EDC258"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t>Gain/loss</w:t>
            </w:r>
          </w:p>
        </w:tc>
        <w:tc>
          <w:tcPr>
            <w:tcW w:w="2050" w:type="dxa"/>
            <w:tcMar>
              <w:top w:w="80" w:type="dxa"/>
              <w:left w:w="120" w:type="dxa"/>
              <w:bottom w:w="80" w:type="dxa"/>
              <w:right w:w="120" w:type="dxa"/>
            </w:tcMar>
            <w:vAlign w:val="center"/>
          </w:tcPr>
          <w:p w14:paraId="0D454B64"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MAE</w:t>
            </w:r>
          </w:p>
        </w:tc>
        <w:tc>
          <w:tcPr>
            <w:tcW w:w="4860" w:type="dxa"/>
            <w:tcMar>
              <w:top w:w="80" w:type="dxa"/>
              <w:left w:w="120" w:type="dxa"/>
              <w:bottom w:w="80" w:type="dxa"/>
              <w:right w:w="120" w:type="dxa"/>
            </w:tcMar>
            <w:vAlign w:val="center"/>
          </w:tcPr>
          <w:p w14:paraId="3669EF41"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RMSE, R², sign accuracy</w:t>
            </w:r>
          </w:p>
        </w:tc>
      </w:tr>
    </w:tbl>
    <w:p w14:paraId="0BA79DF7" w14:textId="77777777" w:rsidR="00CA65E3" w:rsidRPr="001766B7" w:rsidRDefault="00CA65E3">
      <w:pPr>
        <w:spacing w:after="60"/>
        <w:rPr>
          <w:rFonts w:ascii="Times New Roman" w:hAnsi="Times New Roman" w:cs="Times New Roman"/>
        </w:rPr>
      </w:pPr>
    </w:p>
    <w:p w14:paraId="3863B6D7" w14:textId="7B67E65C" w:rsidR="00CA65E3" w:rsidRPr="00621FDB" w:rsidRDefault="00000000">
      <w:pPr>
        <w:rPr>
          <w:rFonts w:ascii="Times New Roman" w:hAnsi="Times New Roman" w:cs="Times New Roman"/>
          <w:lang w:val="mk-MK"/>
        </w:rPr>
      </w:pPr>
      <w:r w:rsidRPr="001766B7">
        <w:rPr>
          <w:rFonts w:ascii="Times New Roman" w:eastAsia="Calibri" w:hAnsi="Times New Roman" w:cs="Times New Roman"/>
        </w:rPr>
        <w:t>Средната апсолутна грешка е примарна мерка за регресиските задачи, бидејќи нејзината единица е директно интерпретабилна како број позиции. Покрај неа се пресметуваат RMSE, R² и ранговска корелација во рамките на поединечна трка. За класификациските задачи се разликуваат дискриминација и калибрација: ROC-AUC е соодветна за Top 10, PR-AUC за поретката podium класа, а Brier score и log loss покажуваат колку се усогласени веројатностите со реалните исходи.</w:t>
      </w:r>
      <w:r w:rsidR="00621FDB">
        <w:rPr>
          <w:rFonts w:ascii="Times New Roman" w:eastAsia="Calibri" w:hAnsi="Times New Roman" w:cs="Times New Roman"/>
          <w:lang w:val="mk-MK"/>
        </w:rPr>
        <w:br/>
      </w:r>
    </w:p>
    <w:p w14:paraId="646A3317"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lastRenderedPageBreak/>
        <w:t>7.2 Кандидатски модели, базни линии и tuning protocol</w:t>
      </w:r>
    </w:p>
    <w:p w14:paraId="5936E327"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За секоја комбинација од информациски контекст и задача се формира независна споредба со ист одобрен сет на карактеристики и идентична временска поделба. Кај регресијата се споредуваат базни линии, Ridge, ElasticNet, Random Forest, XGBoost и LightGBM; кај класификацијата се споредуваат базна веројатност, Logistic Regression, Random Forest, XGBoost и LightGBM. Базните линии не се споредна декорација, туку неопходна референтна точка за да се утврди дали сложениот модел навистина носи дополнителна предвидувачка вредност.</w:t>
      </w:r>
    </w:p>
    <w:p w14:paraId="29B53B4B"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Конфигурациите се детерминистички зададени со евидентирани случајни семиња и се оценуваат со истиот протокол. Моделот се избира според примарната метрика на развојната валидација, а кај практично блиски резултати предност има поедноставното решение. Завршната сезона е изолирана од изборот на алгоритам, праг и сет на карактеристики; затоа нејзините метрики имаат потврден, а не селекциски карактер.</w:t>
      </w:r>
    </w:p>
    <w:p w14:paraId="28B063D8" w14:textId="77777777" w:rsidR="00CA65E3" w:rsidRPr="001766B7" w:rsidRDefault="00000000">
      <w:pPr>
        <w:spacing w:before="80" w:after="40"/>
        <w:jc w:val="center"/>
        <w:rPr>
          <w:rFonts w:ascii="Times New Roman" w:hAnsi="Times New Roman" w:cs="Times New Roman"/>
        </w:rPr>
      </w:pPr>
      <w:r w:rsidRPr="001766B7">
        <w:rPr>
          <w:rFonts w:ascii="Times New Roman" w:hAnsi="Times New Roman" w:cs="Times New Roman"/>
          <w:noProof/>
        </w:rPr>
        <w:drawing>
          <wp:inline distT="0" distB="0" distL="0" distR="0" wp14:anchorId="35D9A8F9" wp14:editId="7A343A89">
            <wp:extent cx="5349240" cy="1575663"/>
            <wp:effectExtent l="0" t="0" r="0" b="0"/>
            <wp:docPr id="3" name="Picture 3" descr="3. Data-flow на training pipeline. Сликата го прикажува инженерскиот тек; тезинската селекција користи само завршени сезони и immutable experiment artifacts." title="3. Data-flow на training pipeline. Сликата го прикажува инженерскиот тек; тезинската селекција користи само завршени сезони и immutable experiment arti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349240" cy="1575663"/>
                    </a:xfrm>
                    <a:prstGeom prst="rect">
                      <a:avLst/>
                    </a:prstGeom>
                  </pic:spPr>
                </pic:pic>
              </a:graphicData>
            </a:graphic>
          </wp:inline>
        </w:drawing>
      </w:r>
    </w:p>
    <w:p w14:paraId="11F326C5" w14:textId="77777777" w:rsidR="00CA65E3" w:rsidRPr="001766B7" w:rsidRDefault="00000000">
      <w:pPr>
        <w:spacing w:before="60" w:after="180"/>
        <w:jc w:val="center"/>
        <w:rPr>
          <w:rFonts w:ascii="Times New Roman" w:hAnsi="Times New Roman" w:cs="Times New Roman"/>
        </w:rPr>
      </w:pPr>
      <w:r w:rsidRPr="001766B7">
        <w:rPr>
          <w:rFonts w:ascii="Times New Roman" w:eastAsia="Calibri" w:hAnsi="Times New Roman" w:cs="Times New Roman"/>
          <w:i/>
          <w:color w:val="667085"/>
          <w:sz w:val="19"/>
        </w:rPr>
        <w:t>Слика 3. Data-flow на training pipeline. Сликата го прикажува инженерскиот тек; тезинската селекција користи само завршени сезони и immutable experiment artifacts.</w:t>
      </w:r>
    </w:p>
    <w:p w14:paraId="38230A1D" w14:textId="77777777" w:rsidR="00CA65E3" w:rsidRPr="001766B7" w:rsidRDefault="00000000">
      <w:pPr>
        <w:spacing w:before="80" w:after="40"/>
        <w:jc w:val="center"/>
        <w:rPr>
          <w:rFonts w:ascii="Times New Roman" w:hAnsi="Times New Roman" w:cs="Times New Roman"/>
        </w:rPr>
      </w:pPr>
      <w:r w:rsidRPr="001766B7">
        <w:rPr>
          <w:rFonts w:ascii="Times New Roman" w:hAnsi="Times New Roman" w:cs="Times New Roman"/>
          <w:noProof/>
        </w:rPr>
        <w:drawing>
          <wp:inline distT="0" distB="0" distL="0" distR="0" wp14:anchorId="40B6910E" wp14:editId="36E7A685">
            <wp:extent cx="5349240" cy="2674620"/>
            <wp:effectExtent l="0" t="0" r="0" b="0"/>
            <wp:docPr id="4" name="Picture 4" descr="4. Споредба на validation-резултатите на избраните модели во pre-qualifying и post-qualifying контекст. Извор: експеримент thesis-final-2025-holdout-20260620-r3." title="4. Споредба на validation-резултатите на избраните модели во pre-qualifying и post-qualifying контекст. Извор: експеримент thesis-final-2025-holdout-20260620-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performance_comparison.png"/>
                    <pic:cNvPicPr/>
                  </pic:nvPicPr>
                  <pic:blipFill>
                    <a:blip r:embed="rId11"/>
                    <a:stretch>
                      <a:fillRect/>
                    </a:stretch>
                  </pic:blipFill>
                  <pic:spPr>
                    <a:xfrm>
                      <a:off x="0" y="0"/>
                      <a:ext cx="5349240" cy="2674620"/>
                    </a:xfrm>
                    <a:prstGeom prst="rect">
                      <a:avLst/>
                    </a:prstGeom>
                  </pic:spPr>
                </pic:pic>
              </a:graphicData>
            </a:graphic>
          </wp:inline>
        </w:drawing>
      </w:r>
    </w:p>
    <w:p w14:paraId="3347DD5E" w14:textId="5BFD58BF" w:rsidR="00CA65E3" w:rsidRPr="00621FDB" w:rsidRDefault="00000000">
      <w:pPr>
        <w:spacing w:before="60" w:after="180"/>
        <w:jc w:val="center"/>
        <w:rPr>
          <w:rFonts w:ascii="Times New Roman" w:hAnsi="Times New Roman" w:cs="Times New Roman"/>
          <w:lang w:val="mk-MK"/>
        </w:rPr>
      </w:pPr>
      <w:r w:rsidRPr="001766B7">
        <w:rPr>
          <w:rFonts w:ascii="Times New Roman" w:eastAsia="Calibri" w:hAnsi="Times New Roman" w:cs="Times New Roman"/>
          <w:i/>
          <w:color w:val="667085"/>
          <w:sz w:val="19"/>
        </w:rPr>
        <w:lastRenderedPageBreak/>
        <w:t>Слика 4. Споредба на validation-резултатите на избраните модели во pre-qualifying и post-qualifying контекст. Извор: експеримент thesis-final-2025-holdout-20260620-r3.</w:t>
      </w:r>
      <w:r w:rsidR="00621FDB">
        <w:rPr>
          <w:rFonts w:ascii="Times New Roman" w:eastAsia="Calibri" w:hAnsi="Times New Roman" w:cs="Times New Roman"/>
          <w:i/>
          <w:color w:val="667085"/>
          <w:sz w:val="19"/>
          <w:lang w:val="mk-MK"/>
        </w:rPr>
        <w:br/>
      </w:r>
    </w:p>
    <w:p w14:paraId="67042907"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7.3 Временска поделба и спречување leakage</w:t>
      </w:r>
    </w:p>
    <w:p w14:paraId="25A6CF21"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Валидацијата е season-based rolling origin. Бидејќи недостигаат резултати за 2022, достапен е еден најран изводлив outer fold: тренинг на 2021 и 2023, валидација на 2024. Потоа избраните конфигурации се refit-ираат на 2021, 2023 и 2024 и се оценуваат еднаш на 2025. Ова е reduced-evidence дизајн, но е построг од random cross-validation и не дозволува идни трки или сезони да влијаат врз претходен fold.</w:t>
      </w:r>
    </w:p>
    <w:tbl>
      <w:tblPr>
        <w:tblStyle w:val="TableGrid"/>
        <w:tblW w:w="9360" w:type="dxa"/>
        <w:tblInd w:w="120" w:type="dxa"/>
        <w:tblLayout w:type="fixed"/>
        <w:tblLook w:val="04A0" w:firstRow="1" w:lastRow="0" w:firstColumn="1" w:lastColumn="0" w:noHBand="0" w:noVBand="1"/>
      </w:tblPr>
      <w:tblGrid>
        <w:gridCol w:w="1800"/>
        <w:gridCol w:w="3000"/>
        <w:gridCol w:w="4560"/>
      </w:tblGrid>
      <w:tr w:rsidR="00CA65E3" w:rsidRPr="001766B7" w14:paraId="11FED829" w14:textId="77777777">
        <w:trPr>
          <w:tblHeader/>
        </w:trPr>
        <w:tc>
          <w:tcPr>
            <w:tcW w:w="1800" w:type="dxa"/>
            <w:shd w:val="clear" w:color="auto" w:fill="F4F6F9"/>
            <w:tcMar>
              <w:top w:w="80" w:type="dxa"/>
              <w:left w:w="120" w:type="dxa"/>
              <w:bottom w:w="80" w:type="dxa"/>
              <w:right w:w="120" w:type="dxa"/>
            </w:tcMar>
            <w:vAlign w:val="center"/>
          </w:tcPr>
          <w:p w14:paraId="0B64F9D0"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8"/>
              </w:rPr>
              <w:t>Фаза</w:t>
            </w:r>
          </w:p>
        </w:tc>
        <w:tc>
          <w:tcPr>
            <w:tcW w:w="3000" w:type="dxa"/>
            <w:shd w:val="clear" w:color="auto" w:fill="F4F6F9"/>
            <w:tcMar>
              <w:top w:w="80" w:type="dxa"/>
              <w:left w:w="120" w:type="dxa"/>
              <w:bottom w:w="80" w:type="dxa"/>
              <w:right w:w="120" w:type="dxa"/>
            </w:tcMar>
            <w:vAlign w:val="center"/>
          </w:tcPr>
          <w:p w14:paraId="3BD0455A"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8"/>
              </w:rPr>
              <w:t>Сезони</w:t>
            </w:r>
          </w:p>
        </w:tc>
        <w:tc>
          <w:tcPr>
            <w:tcW w:w="4560" w:type="dxa"/>
            <w:shd w:val="clear" w:color="auto" w:fill="F4F6F9"/>
            <w:tcMar>
              <w:top w:w="80" w:type="dxa"/>
              <w:left w:w="120" w:type="dxa"/>
              <w:bottom w:w="80" w:type="dxa"/>
              <w:right w:w="120" w:type="dxa"/>
            </w:tcMar>
            <w:vAlign w:val="center"/>
          </w:tcPr>
          <w:p w14:paraId="40016EA7"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8"/>
              </w:rPr>
              <w:t>Улога</w:t>
            </w:r>
          </w:p>
        </w:tc>
      </w:tr>
      <w:tr w:rsidR="00CA65E3" w:rsidRPr="001766B7" w14:paraId="2CC51ED2" w14:textId="77777777">
        <w:tc>
          <w:tcPr>
            <w:tcW w:w="1800" w:type="dxa"/>
            <w:tcMar>
              <w:top w:w="80" w:type="dxa"/>
              <w:left w:w="120" w:type="dxa"/>
              <w:bottom w:w="80" w:type="dxa"/>
              <w:right w:w="120" w:type="dxa"/>
            </w:tcMar>
            <w:vAlign w:val="center"/>
          </w:tcPr>
          <w:p w14:paraId="78B7480D"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t>Развој</w:t>
            </w:r>
          </w:p>
        </w:tc>
        <w:tc>
          <w:tcPr>
            <w:tcW w:w="3000" w:type="dxa"/>
            <w:tcMar>
              <w:top w:w="80" w:type="dxa"/>
              <w:left w:w="120" w:type="dxa"/>
              <w:bottom w:w="80" w:type="dxa"/>
              <w:right w:w="120" w:type="dxa"/>
            </w:tcMar>
            <w:vAlign w:val="center"/>
          </w:tcPr>
          <w:p w14:paraId="2A540C8A"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2021, 2023, 2024</w:t>
            </w:r>
          </w:p>
        </w:tc>
        <w:tc>
          <w:tcPr>
            <w:tcW w:w="4560" w:type="dxa"/>
            <w:tcMar>
              <w:top w:w="80" w:type="dxa"/>
              <w:left w:w="120" w:type="dxa"/>
              <w:bottom w:w="80" w:type="dxa"/>
              <w:right w:w="120" w:type="dxa"/>
            </w:tcMar>
            <w:vAlign w:val="center"/>
          </w:tcPr>
          <w:p w14:paraId="7571E0AC"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Достапни целосни сезони пред holdout</w:t>
            </w:r>
          </w:p>
        </w:tc>
      </w:tr>
      <w:tr w:rsidR="00CA65E3" w:rsidRPr="001766B7" w14:paraId="7C79FF0B" w14:textId="77777777">
        <w:tc>
          <w:tcPr>
            <w:tcW w:w="1800" w:type="dxa"/>
            <w:tcMar>
              <w:top w:w="80" w:type="dxa"/>
              <w:left w:w="120" w:type="dxa"/>
              <w:bottom w:w="80" w:type="dxa"/>
              <w:right w:w="120" w:type="dxa"/>
            </w:tcMar>
            <w:vAlign w:val="center"/>
          </w:tcPr>
          <w:p w14:paraId="213C2D57"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t>Rolling validation</w:t>
            </w:r>
          </w:p>
        </w:tc>
        <w:tc>
          <w:tcPr>
            <w:tcW w:w="3000" w:type="dxa"/>
            <w:tcMar>
              <w:top w:w="80" w:type="dxa"/>
              <w:left w:w="120" w:type="dxa"/>
              <w:bottom w:w="80" w:type="dxa"/>
              <w:right w:w="120" w:type="dxa"/>
            </w:tcMar>
            <w:vAlign w:val="center"/>
          </w:tcPr>
          <w:p w14:paraId="1CA42E49"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train: 2021, 2023 → validate: 2024</w:t>
            </w:r>
          </w:p>
        </w:tc>
        <w:tc>
          <w:tcPr>
            <w:tcW w:w="4560" w:type="dxa"/>
            <w:tcMar>
              <w:top w:w="80" w:type="dxa"/>
              <w:left w:w="120" w:type="dxa"/>
              <w:bottom w:w="80" w:type="dxa"/>
              <w:right w:w="120" w:type="dxa"/>
            </w:tcMar>
            <w:vAlign w:val="center"/>
          </w:tcPr>
          <w:p w14:paraId="61906B87"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Избор на model family, threshold и feature subset</w:t>
            </w:r>
          </w:p>
        </w:tc>
      </w:tr>
      <w:tr w:rsidR="00CA65E3" w:rsidRPr="001766B7" w14:paraId="382AFBF3" w14:textId="77777777">
        <w:tc>
          <w:tcPr>
            <w:tcW w:w="1800" w:type="dxa"/>
            <w:tcMar>
              <w:top w:w="80" w:type="dxa"/>
              <w:left w:w="120" w:type="dxa"/>
              <w:bottom w:w="80" w:type="dxa"/>
              <w:right w:w="120" w:type="dxa"/>
            </w:tcMar>
            <w:vAlign w:val="center"/>
          </w:tcPr>
          <w:p w14:paraId="6F3A4380"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8"/>
              </w:rPr>
              <w:t>Final holdout</w:t>
            </w:r>
          </w:p>
        </w:tc>
        <w:tc>
          <w:tcPr>
            <w:tcW w:w="3000" w:type="dxa"/>
            <w:tcMar>
              <w:top w:w="80" w:type="dxa"/>
              <w:left w:w="120" w:type="dxa"/>
              <w:bottom w:w="80" w:type="dxa"/>
              <w:right w:w="120" w:type="dxa"/>
            </w:tcMar>
            <w:vAlign w:val="center"/>
          </w:tcPr>
          <w:p w14:paraId="293C851B"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2025</w:t>
            </w:r>
          </w:p>
        </w:tc>
        <w:tc>
          <w:tcPr>
            <w:tcW w:w="4560" w:type="dxa"/>
            <w:tcMar>
              <w:top w:w="80" w:type="dxa"/>
              <w:left w:w="120" w:type="dxa"/>
              <w:bottom w:w="80" w:type="dxa"/>
              <w:right w:w="120" w:type="dxa"/>
            </w:tcMar>
            <w:vAlign w:val="center"/>
          </w:tcPr>
          <w:p w14:paraId="11CB1D2D"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8"/>
              </w:rPr>
              <w:t>Една недопрена потврдна евалуација</w:t>
            </w:r>
          </w:p>
        </w:tc>
      </w:tr>
    </w:tbl>
    <w:p w14:paraId="64106062" w14:textId="77777777" w:rsidR="00CA65E3" w:rsidRPr="001766B7" w:rsidRDefault="00CA65E3">
      <w:pPr>
        <w:spacing w:after="60"/>
        <w:rPr>
          <w:rFonts w:ascii="Times New Roman" w:hAnsi="Times New Roman" w:cs="Times New Roman"/>
        </w:rPr>
      </w:pPr>
    </w:p>
    <w:p w14:paraId="634E77E6" w14:textId="21428502" w:rsidR="00CA65E3" w:rsidRPr="00621FDB" w:rsidRDefault="00000000">
      <w:pPr>
        <w:rPr>
          <w:rFonts w:ascii="Times New Roman" w:hAnsi="Times New Roman" w:cs="Times New Roman"/>
          <w:lang w:val="mk-MK"/>
        </w:rPr>
      </w:pPr>
      <w:r w:rsidRPr="001766B7">
        <w:rPr>
          <w:rFonts w:ascii="Times New Roman" w:eastAsia="Calibri" w:hAnsi="Times New Roman" w:cs="Times New Roman"/>
        </w:rPr>
        <w:t>Feature пресметките се ограничени на трки порано од целната трка. Imputation, scaling, class weighting и threshold избор се fit-ираат само на training делот од релевантниот fold. Pre-qualifying модел никогаш не прима колони што се достапни само после квалификации. Овие контроли се проверуваат пред креирање на split и се запишуваат во manifest за секој experiment ID.</w:t>
      </w:r>
      <w:r w:rsidR="00621FDB">
        <w:rPr>
          <w:rFonts w:ascii="Times New Roman" w:eastAsia="Calibri" w:hAnsi="Times New Roman" w:cs="Times New Roman"/>
          <w:lang w:val="mk-MK"/>
        </w:rPr>
        <w:br/>
      </w:r>
    </w:p>
    <w:p w14:paraId="545AACC3"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7.4 Конечен експеримент и резултати</w:t>
      </w:r>
    </w:p>
    <w:p w14:paraId="35A2987F"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Финалниот успешен run е thesis-final-2025-holdout-20260620-r3, со seed 42. Во snapshot-от имало 420/440/479/479 pre-qualifying rows и 439/440/479/479 post-qualifying rows за 2021/2023/2024/2025. Не се импутираат недостасни labels. По успешното создавање на артефактите се промовирани само validation-selected champion модели со постојните deployed filenames, а постарите experiment директориуми не се презапишани.</w:t>
      </w:r>
    </w:p>
    <w:tbl>
      <w:tblPr>
        <w:tblStyle w:val="TableGrid"/>
        <w:tblW w:w="9360" w:type="dxa"/>
        <w:tblInd w:w="120" w:type="dxa"/>
        <w:tblLayout w:type="fixed"/>
        <w:tblLook w:val="04A0" w:firstRow="1" w:lastRow="0" w:firstColumn="1" w:lastColumn="0" w:noHBand="0" w:noVBand="1"/>
      </w:tblPr>
      <w:tblGrid>
        <w:gridCol w:w="800"/>
        <w:gridCol w:w="1600"/>
        <w:gridCol w:w="2100"/>
        <w:gridCol w:w="1900"/>
        <w:gridCol w:w="2960"/>
      </w:tblGrid>
      <w:tr w:rsidR="00CA65E3" w:rsidRPr="001766B7" w14:paraId="40A4AB79" w14:textId="77777777">
        <w:trPr>
          <w:tblHeader/>
        </w:trPr>
        <w:tc>
          <w:tcPr>
            <w:tcW w:w="800" w:type="dxa"/>
            <w:shd w:val="clear" w:color="auto" w:fill="F4F6F9"/>
            <w:tcMar>
              <w:top w:w="80" w:type="dxa"/>
              <w:left w:w="120" w:type="dxa"/>
              <w:bottom w:w="80" w:type="dxa"/>
              <w:right w:w="120" w:type="dxa"/>
            </w:tcMar>
            <w:vAlign w:val="center"/>
          </w:tcPr>
          <w:p w14:paraId="39C109F1"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6"/>
              </w:rPr>
              <w:t>Контекст</w:t>
            </w:r>
          </w:p>
        </w:tc>
        <w:tc>
          <w:tcPr>
            <w:tcW w:w="1600" w:type="dxa"/>
            <w:shd w:val="clear" w:color="auto" w:fill="F4F6F9"/>
            <w:tcMar>
              <w:top w:w="80" w:type="dxa"/>
              <w:left w:w="120" w:type="dxa"/>
              <w:bottom w:w="80" w:type="dxa"/>
              <w:right w:w="120" w:type="dxa"/>
            </w:tcMar>
            <w:vAlign w:val="center"/>
          </w:tcPr>
          <w:p w14:paraId="3DA7392B"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6"/>
              </w:rPr>
              <w:t>Задача</w:t>
            </w:r>
          </w:p>
        </w:tc>
        <w:tc>
          <w:tcPr>
            <w:tcW w:w="2100" w:type="dxa"/>
            <w:shd w:val="clear" w:color="auto" w:fill="F4F6F9"/>
            <w:tcMar>
              <w:top w:w="80" w:type="dxa"/>
              <w:left w:w="120" w:type="dxa"/>
              <w:bottom w:w="80" w:type="dxa"/>
              <w:right w:w="120" w:type="dxa"/>
            </w:tcMar>
            <w:vAlign w:val="center"/>
          </w:tcPr>
          <w:p w14:paraId="5348FF8F"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6"/>
              </w:rPr>
              <w:t>Champion</w:t>
            </w:r>
          </w:p>
        </w:tc>
        <w:tc>
          <w:tcPr>
            <w:tcW w:w="1900" w:type="dxa"/>
            <w:shd w:val="clear" w:color="auto" w:fill="F4F6F9"/>
            <w:tcMar>
              <w:top w:w="80" w:type="dxa"/>
              <w:left w:w="120" w:type="dxa"/>
              <w:bottom w:w="80" w:type="dxa"/>
              <w:right w:w="120" w:type="dxa"/>
            </w:tcMar>
            <w:vAlign w:val="center"/>
          </w:tcPr>
          <w:p w14:paraId="32810218"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6"/>
              </w:rPr>
              <w:t>Validation metric</w:t>
            </w:r>
          </w:p>
        </w:tc>
        <w:tc>
          <w:tcPr>
            <w:tcW w:w="2960" w:type="dxa"/>
            <w:shd w:val="clear" w:color="auto" w:fill="F4F6F9"/>
            <w:tcMar>
              <w:top w:w="80" w:type="dxa"/>
              <w:left w:w="120" w:type="dxa"/>
              <w:bottom w:w="80" w:type="dxa"/>
              <w:right w:w="120" w:type="dxa"/>
            </w:tcMar>
            <w:vAlign w:val="center"/>
          </w:tcPr>
          <w:p w14:paraId="1A3A10D6"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6"/>
              </w:rPr>
              <w:t>2025 holdout</w:t>
            </w:r>
          </w:p>
        </w:tc>
      </w:tr>
      <w:tr w:rsidR="00CA65E3" w:rsidRPr="001766B7" w14:paraId="1494727B" w14:textId="77777777">
        <w:tc>
          <w:tcPr>
            <w:tcW w:w="800" w:type="dxa"/>
            <w:tcMar>
              <w:top w:w="80" w:type="dxa"/>
              <w:left w:w="120" w:type="dxa"/>
              <w:bottom w:w="80" w:type="dxa"/>
              <w:right w:w="120" w:type="dxa"/>
            </w:tcMar>
            <w:vAlign w:val="center"/>
          </w:tcPr>
          <w:p w14:paraId="0853109C"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Pre</w:t>
            </w:r>
          </w:p>
        </w:tc>
        <w:tc>
          <w:tcPr>
            <w:tcW w:w="1600" w:type="dxa"/>
            <w:tcMar>
              <w:top w:w="80" w:type="dxa"/>
              <w:left w:w="120" w:type="dxa"/>
              <w:bottom w:w="80" w:type="dxa"/>
              <w:right w:w="120" w:type="dxa"/>
            </w:tcMar>
            <w:vAlign w:val="center"/>
          </w:tcPr>
          <w:p w14:paraId="75B0E75E"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Завршна позиција</w:t>
            </w:r>
          </w:p>
        </w:tc>
        <w:tc>
          <w:tcPr>
            <w:tcW w:w="2100" w:type="dxa"/>
            <w:tcMar>
              <w:top w:w="80" w:type="dxa"/>
              <w:left w:w="120" w:type="dxa"/>
              <w:bottom w:w="80" w:type="dxa"/>
              <w:right w:w="120" w:type="dxa"/>
            </w:tcMar>
            <w:vAlign w:val="center"/>
          </w:tcPr>
          <w:p w14:paraId="1EA8F1EB"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Ridge</w:t>
            </w:r>
          </w:p>
        </w:tc>
        <w:tc>
          <w:tcPr>
            <w:tcW w:w="1900" w:type="dxa"/>
            <w:tcMar>
              <w:top w:w="80" w:type="dxa"/>
              <w:left w:w="120" w:type="dxa"/>
              <w:bottom w:w="80" w:type="dxa"/>
              <w:right w:w="120" w:type="dxa"/>
            </w:tcMar>
            <w:vAlign w:val="center"/>
          </w:tcPr>
          <w:p w14:paraId="52558615"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MAE 3.426</w:t>
            </w:r>
          </w:p>
        </w:tc>
        <w:tc>
          <w:tcPr>
            <w:tcW w:w="2960" w:type="dxa"/>
            <w:tcMar>
              <w:top w:w="80" w:type="dxa"/>
              <w:left w:w="120" w:type="dxa"/>
              <w:bottom w:w="80" w:type="dxa"/>
              <w:right w:w="120" w:type="dxa"/>
            </w:tcMar>
            <w:vAlign w:val="center"/>
          </w:tcPr>
          <w:p w14:paraId="3605B8EF"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MAE 3.904; R² 0.286; ρ 0.510</w:t>
            </w:r>
          </w:p>
        </w:tc>
      </w:tr>
      <w:tr w:rsidR="00CA65E3" w:rsidRPr="001766B7" w14:paraId="594DC97C" w14:textId="77777777">
        <w:tc>
          <w:tcPr>
            <w:tcW w:w="800" w:type="dxa"/>
            <w:tcMar>
              <w:top w:w="80" w:type="dxa"/>
              <w:left w:w="120" w:type="dxa"/>
              <w:bottom w:w="80" w:type="dxa"/>
              <w:right w:w="120" w:type="dxa"/>
            </w:tcMar>
            <w:vAlign w:val="center"/>
          </w:tcPr>
          <w:p w14:paraId="1DF8A15E"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Post</w:t>
            </w:r>
          </w:p>
        </w:tc>
        <w:tc>
          <w:tcPr>
            <w:tcW w:w="1600" w:type="dxa"/>
            <w:tcMar>
              <w:top w:w="80" w:type="dxa"/>
              <w:left w:w="120" w:type="dxa"/>
              <w:bottom w:w="80" w:type="dxa"/>
              <w:right w:w="120" w:type="dxa"/>
            </w:tcMar>
            <w:vAlign w:val="center"/>
          </w:tcPr>
          <w:p w14:paraId="66534DF7"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Завршна позиција</w:t>
            </w:r>
          </w:p>
        </w:tc>
        <w:tc>
          <w:tcPr>
            <w:tcW w:w="2100" w:type="dxa"/>
            <w:tcMar>
              <w:top w:w="80" w:type="dxa"/>
              <w:left w:w="120" w:type="dxa"/>
              <w:bottom w:w="80" w:type="dxa"/>
              <w:right w:w="120" w:type="dxa"/>
            </w:tcMar>
            <w:vAlign w:val="center"/>
          </w:tcPr>
          <w:p w14:paraId="24E2ED20"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Ridge</w:t>
            </w:r>
          </w:p>
        </w:tc>
        <w:tc>
          <w:tcPr>
            <w:tcW w:w="1900" w:type="dxa"/>
            <w:tcMar>
              <w:top w:w="80" w:type="dxa"/>
              <w:left w:w="120" w:type="dxa"/>
              <w:bottom w:w="80" w:type="dxa"/>
              <w:right w:w="120" w:type="dxa"/>
            </w:tcMar>
            <w:vAlign w:val="center"/>
          </w:tcPr>
          <w:p w14:paraId="30AFA9C9"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MAE 2.804</w:t>
            </w:r>
          </w:p>
        </w:tc>
        <w:tc>
          <w:tcPr>
            <w:tcW w:w="2960" w:type="dxa"/>
            <w:tcMar>
              <w:top w:w="80" w:type="dxa"/>
              <w:left w:w="120" w:type="dxa"/>
              <w:bottom w:w="80" w:type="dxa"/>
              <w:right w:w="120" w:type="dxa"/>
            </w:tcMar>
            <w:vAlign w:val="center"/>
          </w:tcPr>
          <w:p w14:paraId="5E115098"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MAE 3.258; R² 0.452; ρ 0.649</w:t>
            </w:r>
          </w:p>
        </w:tc>
      </w:tr>
      <w:tr w:rsidR="00CA65E3" w:rsidRPr="001766B7" w14:paraId="317D3511" w14:textId="77777777">
        <w:tc>
          <w:tcPr>
            <w:tcW w:w="800" w:type="dxa"/>
            <w:tcMar>
              <w:top w:w="80" w:type="dxa"/>
              <w:left w:w="120" w:type="dxa"/>
              <w:bottom w:w="80" w:type="dxa"/>
              <w:right w:w="120" w:type="dxa"/>
            </w:tcMar>
            <w:vAlign w:val="center"/>
          </w:tcPr>
          <w:p w14:paraId="183773F7"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Pre</w:t>
            </w:r>
          </w:p>
        </w:tc>
        <w:tc>
          <w:tcPr>
            <w:tcW w:w="1600" w:type="dxa"/>
            <w:tcMar>
              <w:top w:w="80" w:type="dxa"/>
              <w:left w:w="120" w:type="dxa"/>
              <w:bottom w:w="80" w:type="dxa"/>
              <w:right w:w="120" w:type="dxa"/>
            </w:tcMar>
            <w:vAlign w:val="center"/>
          </w:tcPr>
          <w:p w14:paraId="22687D02"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Top 10</w:t>
            </w:r>
          </w:p>
        </w:tc>
        <w:tc>
          <w:tcPr>
            <w:tcW w:w="2100" w:type="dxa"/>
            <w:tcMar>
              <w:top w:w="80" w:type="dxa"/>
              <w:left w:w="120" w:type="dxa"/>
              <w:bottom w:w="80" w:type="dxa"/>
              <w:right w:w="120" w:type="dxa"/>
            </w:tcMar>
            <w:vAlign w:val="center"/>
          </w:tcPr>
          <w:p w14:paraId="1D908AFF"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Logistic Regression</w:t>
            </w:r>
          </w:p>
        </w:tc>
        <w:tc>
          <w:tcPr>
            <w:tcW w:w="1900" w:type="dxa"/>
            <w:tcMar>
              <w:top w:w="80" w:type="dxa"/>
              <w:left w:w="120" w:type="dxa"/>
              <w:bottom w:w="80" w:type="dxa"/>
              <w:right w:w="120" w:type="dxa"/>
            </w:tcMar>
            <w:vAlign w:val="center"/>
          </w:tcPr>
          <w:p w14:paraId="4D31273C"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ROC-AUC 0.853</w:t>
            </w:r>
          </w:p>
        </w:tc>
        <w:tc>
          <w:tcPr>
            <w:tcW w:w="2960" w:type="dxa"/>
            <w:tcMar>
              <w:top w:w="80" w:type="dxa"/>
              <w:left w:w="120" w:type="dxa"/>
              <w:bottom w:w="80" w:type="dxa"/>
              <w:right w:w="120" w:type="dxa"/>
            </w:tcMar>
            <w:vAlign w:val="center"/>
          </w:tcPr>
          <w:p w14:paraId="71BB1763"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ROC-AUC 0.759; F1 0.679; Brier 0.199</w:t>
            </w:r>
          </w:p>
        </w:tc>
      </w:tr>
      <w:tr w:rsidR="00CA65E3" w:rsidRPr="001766B7" w14:paraId="50F41062" w14:textId="77777777">
        <w:tc>
          <w:tcPr>
            <w:tcW w:w="800" w:type="dxa"/>
            <w:tcMar>
              <w:top w:w="80" w:type="dxa"/>
              <w:left w:w="120" w:type="dxa"/>
              <w:bottom w:w="80" w:type="dxa"/>
              <w:right w:w="120" w:type="dxa"/>
            </w:tcMar>
            <w:vAlign w:val="center"/>
          </w:tcPr>
          <w:p w14:paraId="2B6989A5"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Post</w:t>
            </w:r>
          </w:p>
        </w:tc>
        <w:tc>
          <w:tcPr>
            <w:tcW w:w="1600" w:type="dxa"/>
            <w:tcMar>
              <w:top w:w="80" w:type="dxa"/>
              <w:left w:w="120" w:type="dxa"/>
              <w:bottom w:w="80" w:type="dxa"/>
              <w:right w:w="120" w:type="dxa"/>
            </w:tcMar>
            <w:vAlign w:val="center"/>
          </w:tcPr>
          <w:p w14:paraId="0AD248D3"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Top 10</w:t>
            </w:r>
          </w:p>
        </w:tc>
        <w:tc>
          <w:tcPr>
            <w:tcW w:w="2100" w:type="dxa"/>
            <w:tcMar>
              <w:top w:w="80" w:type="dxa"/>
              <w:left w:w="120" w:type="dxa"/>
              <w:bottom w:w="80" w:type="dxa"/>
              <w:right w:w="120" w:type="dxa"/>
            </w:tcMar>
            <w:vAlign w:val="center"/>
          </w:tcPr>
          <w:p w14:paraId="40407DE0"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Logistic Regression</w:t>
            </w:r>
          </w:p>
        </w:tc>
        <w:tc>
          <w:tcPr>
            <w:tcW w:w="1900" w:type="dxa"/>
            <w:tcMar>
              <w:top w:w="80" w:type="dxa"/>
              <w:left w:w="120" w:type="dxa"/>
              <w:bottom w:w="80" w:type="dxa"/>
              <w:right w:w="120" w:type="dxa"/>
            </w:tcMar>
            <w:vAlign w:val="center"/>
          </w:tcPr>
          <w:p w14:paraId="0529CF33"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ROC-AUC 0.912</w:t>
            </w:r>
          </w:p>
        </w:tc>
        <w:tc>
          <w:tcPr>
            <w:tcW w:w="2960" w:type="dxa"/>
            <w:tcMar>
              <w:top w:w="80" w:type="dxa"/>
              <w:left w:w="120" w:type="dxa"/>
              <w:bottom w:w="80" w:type="dxa"/>
              <w:right w:w="120" w:type="dxa"/>
            </w:tcMar>
            <w:vAlign w:val="center"/>
          </w:tcPr>
          <w:p w14:paraId="2FFE7C52"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ROC-AUC 0.837; F1 0.766; Brier 0.164</w:t>
            </w:r>
          </w:p>
        </w:tc>
      </w:tr>
      <w:tr w:rsidR="00CA65E3" w:rsidRPr="001766B7" w14:paraId="08367E90" w14:textId="77777777">
        <w:tc>
          <w:tcPr>
            <w:tcW w:w="800" w:type="dxa"/>
            <w:tcMar>
              <w:top w:w="80" w:type="dxa"/>
              <w:left w:w="120" w:type="dxa"/>
              <w:bottom w:w="80" w:type="dxa"/>
              <w:right w:w="120" w:type="dxa"/>
            </w:tcMar>
            <w:vAlign w:val="center"/>
          </w:tcPr>
          <w:p w14:paraId="3E255B17"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Pre</w:t>
            </w:r>
          </w:p>
        </w:tc>
        <w:tc>
          <w:tcPr>
            <w:tcW w:w="1600" w:type="dxa"/>
            <w:tcMar>
              <w:top w:w="80" w:type="dxa"/>
              <w:left w:w="120" w:type="dxa"/>
              <w:bottom w:w="80" w:type="dxa"/>
              <w:right w:w="120" w:type="dxa"/>
            </w:tcMar>
            <w:vAlign w:val="center"/>
          </w:tcPr>
          <w:p w14:paraId="3A2452E1"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Podium</w:t>
            </w:r>
          </w:p>
        </w:tc>
        <w:tc>
          <w:tcPr>
            <w:tcW w:w="2100" w:type="dxa"/>
            <w:tcMar>
              <w:top w:w="80" w:type="dxa"/>
              <w:left w:w="120" w:type="dxa"/>
              <w:bottom w:w="80" w:type="dxa"/>
              <w:right w:w="120" w:type="dxa"/>
            </w:tcMar>
            <w:vAlign w:val="center"/>
          </w:tcPr>
          <w:p w14:paraId="1E8C4D32"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Random Forest</w:t>
            </w:r>
          </w:p>
        </w:tc>
        <w:tc>
          <w:tcPr>
            <w:tcW w:w="1900" w:type="dxa"/>
            <w:tcMar>
              <w:top w:w="80" w:type="dxa"/>
              <w:left w:w="120" w:type="dxa"/>
              <w:bottom w:w="80" w:type="dxa"/>
              <w:right w:w="120" w:type="dxa"/>
            </w:tcMar>
            <w:vAlign w:val="center"/>
          </w:tcPr>
          <w:p w14:paraId="077A2746"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PR-AUC 0.494</w:t>
            </w:r>
          </w:p>
        </w:tc>
        <w:tc>
          <w:tcPr>
            <w:tcW w:w="2960" w:type="dxa"/>
            <w:tcMar>
              <w:top w:w="80" w:type="dxa"/>
              <w:left w:w="120" w:type="dxa"/>
              <w:bottom w:w="80" w:type="dxa"/>
              <w:right w:w="120" w:type="dxa"/>
            </w:tcMar>
            <w:vAlign w:val="center"/>
          </w:tcPr>
          <w:p w14:paraId="74414D11"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PR-AUC 0.523; F1 0.578; Brier 0.097</w:t>
            </w:r>
          </w:p>
        </w:tc>
      </w:tr>
      <w:tr w:rsidR="00CA65E3" w:rsidRPr="001766B7" w14:paraId="1C8990AA" w14:textId="77777777">
        <w:tc>
          <w:tcPr>
            <w:tcW w:w="800" w:type="dxa"/>
            <w:tcMar>
              <w:top w:w="80" w:type="dxa"/>
              <w:left w:w="120" w:type="dxa"/>
              <w:bottom w:w="80" w:type="dxa"/>
              <w:right w:w="120" w:type="dxa"/>
            </w:tcMar>
            <w:vAlign w:val="center"/>
          </w:tcPr>
          <w:p w14:paraId="2DA217AE"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Post</w:t>
            </w:r>
          </w:p>
        </w:tc>
        <w:tc>
          <w:tcPr>
            <w:tcW w:w="1600" w:type="dxa"/>
            <w:tcMar>
              <w:top w:w="80" w:type="dxa"/>
              <w:left w:w="120" w:type="dxa"/>
              <w:bottom w:w="80" w:type="dxa"/>
              <w:right w:w="120" w:type="dxa"/>
            </w:tcMar>
            <w:vAlign w:val="center"/>
          </w:tcPr>
          <w:p w14:paraId="3E733EFC"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Podium</w:t>
            </w:r>
          </w:p>
        </w:tc>
        <w:tc>
          <w:tcPr>
            <w:tcW w:w="2100" w:type="dxa"/>
            <w:tcMar>
              <w:top w:w="80" w:type="dxa"/>
              <w:left w:w="120" w:type="dxa"/>
              <w:bottom w:w="80" w:type="dxa"/>
              <w:right w:w="120" w:type="dxa"/>
            </w:tcMar>
            <w:vAlign w:val="center"/>
          </w:tcPr>
          <w:p w14:paraId="66441C0A"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Random Forest</w:t>
            </w:r>
          </w:p>
        </w:tc>
        <w:tc>
          <w:tcPr>
            <w:tcW w:w="1900" w:type="dxa"/>
            <w:tcMar>
              <w:top w:w="80" w:type="dxa"/>
              <w:left w:w="120" w:type="dxa"/>
              <w:bottom w:w="80" w:type="dxa"/>
              <w:right w:w="120" w:type="dxa"/>
            </w:tcMar>
            <w:vAlign w:val="center"/>
          </w:tcPr>
          <w:p w14:paraId="5DF4AB4F"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PR-AUC 0.689</w:t>
            </w:r>
          </w:p>
        </w:tc>
        <w:tc>
          <w:tcPr>
            <w:tcW w:w="2960" w:type="dxa"/>
            <w:tcMar>
              <w:top w:w="80" w:type="dxa"/>
              <w:left w:w="120" w:type="dxa"/>
              <w:bottom w:w="80" w:type="dxa"/>
              <w:right w:w="120" w:type="dxa"/>
            </w:tcMar>
            <w:vAlign w:val="center"/>
          </w:tcPr>
          <w:p w14:paraId="0E5CE353"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PR-AUC 0.750; F1 0.734; Brier 0.067</w:t>
            </w:r>
          </w:p>
        </w:tc>
      </w:tr>
      <w:tr w:rsidR="00CA65E3" w:rsidRPr="001766B7" w14:paraId="72C31D6C" w14:textId="77777777">
        <w:tc>
          <w:tcPr>
            <w:tcW w:w="800" w:type="dxa"/>
            <w:tcMar>
              <w:top w:w="80" w:type="dxa"/>
              <w:left w:w="120" w:type="dxa"/>
              <w:bottom w:w="80" w:type="dxa"/>
              <w:right w:w="120" w:type="dxa"/>
            </w:tcMar>
            <w:vAlign w:val="center"/>
          </w:tcPr>
          <w:p w14:paraId="647F955C"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lastRenderedPageBreak/>
              <w:t>Pre</w:t>
            </w:r>
          </w:p>
        </w:tc>
        <w:tc>
          <w:tcPr>
            <w:tcW w:w="1600" w:type="dxa"/>
            <w:tcMar>
              <w:top w:w="80" w:type="dxa"/>
              <w:left w:w="120" w:type="dxa"/>
              <w:bottom w:w="80" w:type="dxa"/>
              <w:right w:w="120" w:type="dxa"/>
            </w:tcMar>
            <w:vAlign w:val="center"/>
          </w:tcPr>
          <w:p w14:paraId="0D91CED4"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Gain/loss</w:t>
            </w:r>
          </w:p>
        </w:tc>
        <w:tc>
          <w:tcPr>
            <w:tcW w:w="2100" w:type="dxa"/>
            <w:tcMar>
              <w:top w:w="80" w:type="dxa"/>
              <w:left w:w="120" w:type="dxa"/>
              <w:bottom w:w="80" w:type="dxa"/>
              <w:right w:w="120" w:type="dxa"/>
            </w:tcMar>
            <w:vAlign w:val="center"/>
          </w:tcPr>
          <w:p w14:paraId="2DB85DC7"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Zero-change baseline</w:t>
            </w:r>
          </w:p>
        </w:tc>
        <w:tc>
          <w:tcPr>
            <w:tcW w:w="1900" w:type="dxa"/>
            <w:tcMar>
              <w:top w:w="80" w:type="dxa"/>
              <w:left w:w="120" w:type="dxa"/>
              <w:bottom w:w="80" w:type="dxa"/>
              <w:right w:w="120" w:type="dxa"/>
            </w:tcMar>
            <w:vAlign w:val="center"/>
          </w:tcPr>
          <w:p w14:paraId="14F26F11"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MAE 2.898</w:t>
            </w:r>
          </w:p>
        </w:tc>
        <w:tc>
          <w:tcPr>
            <w:tcW w:w="2960" w:type="dxa"/>
            <w:tcMar>
              <w:top w:w="80" w:type="dxa"/>
              <w:left w:w="120" w:type="dxa"/>
              <w:bottom w:w="80" w:type="dxa"/>
              <w:right w:w="120" w:type="dxa"/>
            </w:tcMar>
            <w:vAlign w:val="center"/>
          </w:tcPr>
          <w:p w14:paraId="339B9580"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MAE 3.322; R² ≈ 0; sign 0.182</w:t>
            </w:r>
          </w:p>
        </w:tc>
      </w:tr>
      <w:tr w:rsidR="00CA65E3" w:rsidRPr="001766B7" w14:paraId="5569408D" w14:textId="77777777">
        <w:tc>
          <w:tcPr>
            <w:tcW w:w="800" w:type="dxa"/>
            <w:tcMar>
              <w:top w:w="80" w:type="dxa"/>
              <w:left w:w="120" w:type="dxa"/>
              <w:bottom w:w="80" w:type="dxa"/>
              <w:right w:w="120" w:type="dxa"/>
            </w:tcMar>
            <w:vAlign w:val="center"/>
          </w:tcPr>
          <w:p w14:paraId="424CB4D7"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Post</w:t>
            </w:r>
          </w:p>
        </w:tc>
        <w:tc>
          <w:tcPr>
            <w:tcW w:w="1600" w:type="dxa"/>
            <w:tcMar>
              <w:top w:w="80" w:type="dxa"/>
              <w:left w:w="120" w:type="dxa"/>
              <w:bottom w:w="80" w:type="dxa"/>
              <w:right w:w="120" w:type="dxa"/>
            </w:tcMar>
            <w:vAlign w:val="center"/>
          </w:tcPr>
          <w:p w14:paraId="13C278A5"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Gain/loss</w:t>
            </w:r>
          </w:p>
        </w:tc>
        <w:tc>
          <w:tcPr>
            <w:tcW w:w="2100" w:type="dxa"/>
            <w:tcMar>
              <w:top w:w="80" w:type="dxa"/>
              <w:left w:w="120" w:type="dxa"/>
              <w:bottom w:w="80" w:type="dxa"/>
              <w:right w:w="120" w:type="dxa"/>
            </w:tcMar>
            <w:vAlign w:val="center"/>
          </w:tcPr>
          <w:p w14:paraId="269B11EF"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ElasticNet</w:t>
            </w:r>
          </w:p>
        </w:tc>
        <w:tc>
          <w:tcPr>
            <w:tcW w:w="1900" w:type="dxa"/>
            <w:tcMar>
              <w:top w:w="80" w:type="dxa"/>
              <w:left w:w="120" w:type="dxa"/>
              <w:bottom w:w="80" w:type="dxa"/>
              <w:right w:w="120" w:type="dxa"/>
            </w:tcMar>
            <w:vAlign w:val="center"/>
          </w:tcPr>
          <w:p w14:paraId="260BB5F3"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MAE 2.797</w:t>
            </w:r>
          </w:p>
        </w:tc>
        <w:tc>
          <w:tcPr>
            <w:tcW w:w="2960" w:type="dxa"/>
            <w:tcMar>
              <w:top w:w="80" w:type="dxa"/>
              <w:left w:w="120" w:type="dxa"/>
              <w:bottom w:w="80" w:type="dxa"/>
              <w:right w:w="120" w:type="dxa"/>
            </w:tcMar>
            <w:vAlign w:val="center"/>
          </w:tcPr>
          <w:p w14:paraId="2A4FE0A1"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MAE 3.261; R² 0.219; sign 0.544</w:t>
            </w:r>
          </w:p>
        </w:tc>
      </w:tr>
    </w:tbl>
    <w:p w14:paraId="41DE46AD" w14:textId="77777777" w:rsidR="00CA65E3" w:rsidRPr="001766B7" w:rsidRDefault="00CA65E3">
      <w:pPr>
        <w:spacing w:after="60"/>
        <w:rPr>
          <w:rFonts w:ascii="Times New Roman" w:hAnsi="Times New Roman" w:cs="Times New Roman"/>
        </w:rPr>
      </w:pPr>
    </w:p>
    <w:p w14:paraId="074A3271"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Резултатите не покажуваат универзална предност на комплексните алгоритми: Ridge победува за завршна позиција, Logistic Regression за Top 10, а Random Forest за podium. Најважниот негативен резултат е pre-qualifying gain/loss, каде zero-change baseline е избран на валидација и holdout R² е приближно нула. Оваа задача треба да се интерпретира како ограничена, а не како доказ за сигурно предвидување на промени во позиции.</w:t>
      </w:r>
    </w:p>
    <w:p w14:paraId="447DD97D" w14:textId="77777777" w:rsidR="00CA65E3" w:rsidRPr="001766B7" w:rsidRDefault="00000000">
      <w:pPr>
        <w:spacing w:before="80" w:after="40"/>
        <w:jc w:val="center"/>
        <w:rPr>
          <w:rFonts w:ascii="Times New Roman" w:hAnsi="Times New Roman" w:cs="Times New Roman"/>
        </w:rPr>
      </w:pPr>
      <w:r w:rsidRPr="001766B7">
        <w:rPr>
          <w:rFonts w:ascii="Times New Roman" w:hAnsi="Times New Roman" w:cs="Times New Roman"/>
          <w:noProof/>
        </w:rPr>
        <w:drawing>
          <wp:inline distT="0" distB="0" distL="0" distR="0" wp14:anchorId="6FEC0D63" wp14:editId="4DCA7D55">
            <wp:extent cx="5349240" cy="2228850"/>
            <wp:effectExtent l="0" t="0" r="0" b="0"/>
            <wp:docPr id="5" name="Picture 5" descr="5. Feature-ablation споредба по задача и контекст. Баровите се создадени од зачуваните CSV артефакти, а не од рачно внесени вредности." title="5. Feature-ablation споредба по задача и контекст. Баровите се создадени од зачуваните CSV артефакти, а не од рачно внесени вред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ablation_comparison.png"/>
                    <pic:cNvPicPr/>
                  </pic:nvPicPr>
                  <pic:blipFill>
                    <a:blip r:embed="rId12"/>
                    <a:stretch>
                      <a:fillRect/>
                    </a:stretch>
                  </pic:blipFill>
                  <pic:spPr>
                    <a:xfrm>
                      <a:off x="0" y="0"/>
                      <a:ext cx="5349240" cy="2228850"/>
                    </a:xfrm>
                    <a:prstGeom prst="rect">
                      <a:avLst/>
                    </a:prstGeom>
                  </pic:spPr>
                </pic:pic>
              </a:graphicData>
            </a:graphic>
          </wp:inline>
        </w:drawing>
      </w:r>
    </w:p>
    <w:p w14:paraId="2B0D7258" w14:textId="587DE4AA" w:rsidR="00CA65E3" w:rsidRPr="00621FDB" w:rsidRDefault="00000000">
      <w:pPr>
        <w:spacing w:before="60" w:after="180"/>
        <w:jc w:val="center"/>
        <w:rPr>
          <w:rFonts w:ascii="Times New Roman" w:hAnsi="Times New Roman" w:cs="Times New Roman"/>
          <w:lang w:val="mk-MK"/>
        </w:rPr>
      </w:pPr>
      <w:r w:rsidRPr="001766B7">
        <w:rPr>
          <w:rFonts w:ascii="Times New Roman" w:eastAsia="Calibri" w:hAnsi="Times New Roman" w:cs="Times New Roman"/>
          <w:i/>
          <w:color w:val="667085"/>
          <w:sz w:val="19"/>
        </w:rPr>
        <w:t>Слика 5. Feature-ablation споредба по задача и контекст. Баровите се создадени од зачуваните CSV артефакти, а не од рачно внесени вредности.</w:t>
      </w:r>
      <w:r w:rsidR="00621FDB">
        <w:rPr>
          <w:rFonts w:ascii="Times New Roman" w:eastAsia="Calibri" w:hAnsi="Times New Roman" w:cs="Times New Roman"/>
          <w:i/>
          <w:color w:val="667085"/>
          <w:sz w:val="19"/>
          <w:lang w:val="mk-MK"/>
        </w:rPr>
        <w:br/>
      </w:r>
    </w:p>
    <w:p w14:paraId="3DE85CF5"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7.5 Pre-qualifying наспроти post-qualifying</w:t>
      </w:r>
    </w:p>
    <w:p w14:paraId="1642E551"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На holdout сезоната post-qualifying контекстот е подобар во три главни задачи. MAE за завршна позиција се намалува за 0.646 позиции, од 3.904 на 3.258, а mean per-race rank correlation расте од 0.510 на 0.649. За Top 10 ROC-AUC се зголемува од 0.759 на 0.837, со пад на Brier score од 0.199 на 0.164. Најголемата разлика е кај podium: PR-AUC расте од 0.523 на 0.750, а Brier score се намалува од 0.097 на 0.067.</w:t>
      </w:r>
    </w:p>
    <w:p w14:paraId="1F6424C0"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Овие разлики се конзистентни со дополнителната информативност на grid position, qualifying position и gap to pole. Тие не докажуваат каузален ефект на квалификациите врз исходот и не гарантираат иста добивка во друга сезона. Gain/loss е контрапример: MAE се менува само од 3.322 на 3.261, иако post-qualifying sign accuracy расте на 0.544.</w:t>
      </w:r>
    </w:p>
    <w:p w14:paraId="5FE2A8CC"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lastRenderedPageBreak/>
        <w:t>7.6 Feature-ablation анализа</w:t>
      </w:r>
    </w:p>
    <w:p w14:paraId="15728C27"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Ablation експериментите ги споредуваат driver/team form само, form плус circuit history и целосниот сет за соодветниот контекст. Секоја ablation споредба го користи истиот временски fold и кандидатска матрица, па претставува опис на разликите во predictive performance, а не каузална проценка на поединечните features.</w:t>
      </w:r>
    </w:p>
    <w:tbl>
      <w:tblPr>
        <w:tblStyle w:val="TableGrid"/>
        <w:tblW w:w="9360" w:type="dxa"/>
        <w:tblInd w:w="120" w:type="dxa"/>
        <w:tblLayout w:type="fixed"/>
        <w:tblLook w:val="04A0" w:firstRow="1" w:lastRow="0" w:firstColumn="1" w:lastColumn="0" w:noHBand="0" w:noVBand="1"/>
      </w:tblPr>
      <w:tblGrid>
        <w:gridCol w:w="800"/>
        <w:gridCol w:w="1500"/>
        <w:gridCol w:w="2250"/>
        <w:gridCol w:w="1800"/>
        <w:gridCol w:w="3010"/>
      </w:tblGrid>
      <w:tr w:rsidR="00CA65E3" w:rsidRPr="001766B7" w14:paraId="6EA33CDD" w14:textId="77777777">
        <w:trPr>
          <w:tblHeader/>
        </w:trPr>
        <w:tc>
          <w:tcPr>
            <w:tcW w:w="800" w:type="dxa"/>
            <w:shd w:val="clear" w:color="auto" w:fill="F4F6F9"/>
            <w:tcMar>
              <w:top w:w="80" w:type="dxa"/>
              <w:left w:w="120" w:type="dxa"/>
              <w:bottom w:w="80" w:type="dxa"/>
              <w:right w:w="120" w:type="dxa"/>
            </w:tcMar>
            <w:vAlign w:val="center"/>
          </w:tcPr>
          <w:p w14:paraId="6677792D"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6"/>
              </w:rPr>
              <w:t>Контекст</w:t>
            </w:r>
          </w:p>
        </w:tc>
        <w:tc>
          <w:tcPr>
            <w:tcW w:w="1500" w:type="dxa"/>
            <w:shd w:val="clear" w:color="auto" w:fill="F4F6F9"/>
            <w:tcMar>
              <w:top w:w="80" w:type="dxa"/>
              <w:left w:w="120" w:type="dxa"/>
              <w:bottom w:w="80" w:type="dxa"/>
              <w:right w:w="120" w:type="dxa"/>
            </w:tcMar>
            <w:vAlign w:val="center"/>
          </w:tcPr>
          <w:p w14:paraId="1070985B"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6"/>
              </w:rPr>
              <w:t>Задача</w:t>
            </w:r>
          </w:p>
        </w:tc>
        <w:tc>
          <w:tcPr>
            <w:tcW w:w="2250" w:type="dxa"/>
            <w:shd w:val="clear" w:color="auto" w:fill="F4F6F9"/>
            <w:tcMar>
              <w:top w:w="80" w:type="dxa"/>
              <w:left w:w="120" w:type="dxa"/>
              <w:bottom w:w="80" w:type="dxa"/>
              <w:right w:w="120" w:type="dxa"/>
            </w:tcMar>
            <w:vAlign w:val="center"/>
          </w:tcPr>
          <w:p w14:paraId="4A9188D7"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6"/>
              </w:rPr>
              <w:t>Најдобар subset</w:t>
            </w:r>
          </w:p>
        </w:tc>
        <w:tc>
          <w:tcPr>
            <w:tcW w:w="1800" w:type="dxa"/>
            <w:shd w:val="clear" w:color="auto" w:fill="F4F6F9"/>
            <w:tcMar>
              <w:top w:w="80" w:type="dxa"/>
              <w:left w:w="120" w:type="dxa"/>
              <w:bottom w:w="80" w:type="dxa"/>
              <w:right w:w="120" w:type="dxa"/>
            </w:tcMar>
            <w:vAlign w:val="center"/>
          </w:tcPr>
          <w:p w14:paraId="4C3B7945"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6"/>
              </w:rPr>
              <w:t>Metric / score</w:t>
            </w:r>
          </w:p>
        </w:tc>
        <w:tc>
          <w:tcPr>
            <w:tcW w:w="3010" w:type="dxa"/>
            <w:shd w:val="clear" w:color="auto" w:fill="F4F6F9"/>
            <w:tcMar>
              <w:top w:w="80" w:type="dxa"/>
              <w:left w:w="120" w:type="dxa"/>
              <w:bottom w:w="80" w:type="dxa"/>
              <w:right w:w="120" w:type="dxa"/>
            </w:tcMar>
            <w:vAlign w:val="center"/>
          </w:tcPr>
          <w:p w14:paraId="20A82BC1" w14:textId="77777777" w:rsidR="00CA65E3" w:rsidRPr="001766B7" w:rsidRDefault="00000000">
            <w:pPr>
              <w:spacing w:after="0"/>
              <w:jc w:val="center"/>
              <w:rPr>
                <w:rFonts w:ascii="Times New Roman" w:hAnsi="Times New Roman" w:cs="Times New Roman"/>
              </w:rPr>
            </w:pPr>
            <w:r w:rsidRPr="001766B7">
              <w:rPr>
                <w:rFonts w:ascii="Times New Roman" w:eastAsia="Calibri" w:hAnsi="Times New Roman" w:cs="Times New Roman"/>
                <w:b/>
                <w:color w:val="1F4D78"/>
                <w:sz w:val="16"/>
              </w:rPr>
              <w:t>Клучна споредба</w:t>
            </w:r>
          </w:p>
        </w:tc>
      </w:tr>
      <w:tr w:rsidR="00CA65E3" w:rsidRPr="001766B7" w14:paraId="49623C97" w14:textId="77777777">
        <w:tc>
          <w:tcPr>
            <w:tcW w:w="800" w:type="dxa"/>
            <w:tcMar>
              <w:top w:w="80" w:type="dxa"/>
              <w:left w:w="120" w:type="dxa"/>
              <w:bottom w:w="80" w:type="dxa"/>
              <w:right w:w="120" w:type="dxa"/>
            </w:tcMar>
            <w:vAlign w:val="center"/>
          </w:tcPr>
          <w:p w14:paraId="0762DB81"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Post</w:t>
            </w:r>
          </w:p>
        </w:tc>
        <w:tc>
          <w:tcPr>
            <w:tcW w:w="1500" w:type="dxa"/>
            <w:tcMar>
              <w:top w:w="80" w:type="dxa"/>
              <w:left w:w="120" w:type="dxa"/>
              <w:bottom w:w="80" w:type="dxa"/>
              <w:right w:w="120" w:type="dxa"/>
            </w:tcMar>
            <w:vAlign w:val="center"/>
          </w:tcPr>
          <w:p w14:paraId="768BA905"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Завршна позиција</w:t>
            </w:r>
          </w:p>
        </w:tc>
        <w:tc>
          <w:tcPr>
            <w:tcW w:w="2250" w:type="dxa"/>
            <w:tcMar>
              <w:top w:w="80" w:type="dxa"/>
              <w:left w:w="120" w:type="dxa"/>
              <w:bottom w:w="80" w:type="dxa"/>
              <w:right w:w="120" w:type="dxa"/>
            </w:tcMar>
            <w:vAlign w:val="center"/>
          </w:tcPr>
          <w:p w14:paraId="66E017C1"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All + grid/qualifying</w:t>
            </w:r>
          </w:p>
        </w:tc>
        <w:tc>
          <w:tcPr>
            <w:tcW w:w="1800" w:type="dxa"/>
            <w:tcMar>
              <w:top w:w="80" w:type="dxa"/>
              <w:left w:w="120" w:type="dxa"/>
              <w:bottom w:w="80" w:type="dxa"/>
              <w:right w:w="120" w:type="dxa"/>
            </w:tcMar>
            <w:vAlign w:val="center"/>
          </w:tcPr>
          <w:p w14:paraId="3DFC3987"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MAE 2.804</w:t>
            </w:r>
          </w:p>
        </w:tc>
        <w:tc>
          <w:tcPr>
            <w:tcW w:w="3010" w:type="dxa"/>
            <w:tcMar>
              <w:top w:w="80" w:type="dxa"/>
              <w:left w:w="120" w:type="dxa"/>
              <w:bottom w:w="80" w:type="dxa"/>
              <w:right w:w="120" w:type="dxa"/>
            </w:tcMar>
            <w:vAlign w:val="center"/>
          </w:tcPr>
          <w:p w14:paraId="1037D7E6"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form only: 3.422</w:t>
            </w:r>
          </w:p>
        </w:tc>
      </w:tr>
      <w:tr w:rsidR="00CA65E3" w:rsidRPr="001766B7" w14:paraId="5D43CB90" w14:textId="77777777">
        <w:tc>
          <w:tcPr>
            <w:tcW w:w="800" w:type="dxa"/>
            <w:tcMar>
              <w:top w:w="80" w:type="dxa"/>
              <w:left w:w="120" w:type="dxa"/>
              <w:bottom w:w="80" w:type="dxa"/>
              <w:right w:w="120" w:type="dxa"/>
            </w:tcMar>
            <w:vAlign w:val="center"/>
          </w:tcPr>
          <w:p w14:paraId="58BB42DF"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Post</w:t>
            </w:r>
          </w:p>
        </w:tc>
        <w:tc>
          <w:tcPr>
            <w:tcW w:w="1500" w:type="dxa"/>
            <w:tcMar>
              <w:top w:w="80" w:type="dxa"/>
              <w:left w:w="120" w:type="dxa"/>
              <w:bottom w:w="80" w:type="dxa"/>
              <w:right w:w="120" w:type="dxa"/>
            </w:tcMar>
            <w:vAlign w:val="center"/>
          </w:tcPr>
          <w:p w14:paraId="230152EF"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Top 10</w:t>
            </w:r>
          </w:p>
        </w:tc>
        <w:tc>
          <w:tcPr>
            <w:tcW w:w="2250" w:type="dxa"/>
            <w:tcMar>
              <w:top w:w="80" w:type="dxa"/>
              <w:left w:w="120" w:type="dxa"/>
              <w:bottom w:w="80" w:type="dxa"/>
              <w:right w:w="120" w:type="dxa"/>
            </w:tcMar>
            <w:vAlign w:val="center"/>
          </w:tcPr>
          <w:p w14:paraId="04D76036"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All + grid/qualifying</w:t>
            </w:r>
          </w:p>
        </w:tc>
        <w:tc>
          <w:tcPr>
            <w:tcW w:w="1800" w:type="dxa"/>
            <w:tcMar>
              <w:top w:w="80" w:type="dxa"/>
              <w:left w:w="120" w:type="dxa"/>
              <w:bottom w:w="80" w:type="dxa"/>
              <w:right w:w="120" w:type="dxa"/>
            </w:tcMar>
            <w:vAlign w:val="center"/>
          </w:tcPr>
          <w:p w14:paraId="5592B2BC"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ROC-AUC 0.912</w:t>
            </w:r>
          </w:p>
        </w:tc>
        <w:tc>
          <w:tcPr>
            <w:tcW w:w="3010" w:type="dxa"/>
            <w:tcMar>
              <w:top w:w="80" w:type="dxa"/>
              <w:left w:w="120" w:type="dxa"/>
              <w:bottom w:w="80" w:type="dxa"/>
              <w:right w:w="120" w:type="dxa"/>
            </w:tcMar>
            <w:vAlign w:val="center"/>
          </w:tcPr>
          <w:p w14:paraId="77DFBC32"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form only: 0.848</w:t>
            </w:r>
          </w:p>
        </w:tc>
      </w:tr>
      <w:tr w:rsidR="00CA65E3" w:rsidRPr="001766B7" w14:paraId="606670CD" w14:textId="77777777">
        <w:tc>
          <w:tcPr>
            <w:tcW w:w="800" w:type="dxa"/>
            <w:tcMar>
              <w:top w:w="80" w:type="dxa"/>
              <w:left w:w="120" w:type="dxa"/>
              <w:bottom w:w="80" w:type="dxa"/>
              <w:right w:w="120" w:type="dxa"/>
            </w:tcMar>
            <w:vAlign w:val="center"/>
          </w:tcPr>
          <w:p w14:paraId="0CE547D4"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Post</w:t>
            </w:r>
          </w:p>
        </w:tc>
        <w:tc>
          <w:tcPr>
            <w:tcW w:w="1500" w:type="dxa"/>
            <w:tcMar>
              <w:top w:w="80" w:type="dxa"/>
              <w:left w:w="120" w:type="dxa"/>
              <w:bottom w:w="80" w:type="dxa"/>
              <w:right w:w="120" w:type="dxa"/>
            </w:tcMar>
            <w:vAlign w:val="center"/>
          </w:tcPr>
          <w:p w14:paraId="530154CD"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Podium</w:t>
            </w:r>
          </w:p>
        </w:tc>
        <w:tc>
          <w:tcPr>
            <w:tcW w:w="2250" w:type="dxa"/>
            <w:tcMar>
              <w:top w:w="80" w:type="dxa"/>
              <w:left w:w="120" w:type="dxa"/>
              <w:bottom w:w="80" w:type="dxa"/>
              <w:right w:w="120" w:type="dxa"/>
            </w:tcMar>
            <w:vAlign w:val="center"/>
          </w:tcPr>
          <w:p w14:paraId="751F0C91"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All + grid/qualifying</w:t>
            </w:r>
          </w:p>
        </w:tc>
        <w:tc>
          <w:tcPr>
            <w:tcW w:w="1800" w:type="dxa"/>
            <w:tcMar>
              <w:top w:w="80" w:type="dxa"/>
              <w:left w:w="120" w:type="dxa"/>
              <w:bottom w:w="80" w:type="dxa"/>
              <w:right w:w="120" w:type="dxa"/>
            </w:tcMar>
            <w:vAlign w:val="center"/>
          </w:tcPr>
          <w:p w14:paraId="43321D8C"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PR-AUC 0.688</w:t>
            </w:r>
          </w:p>
        </w:tc>
        <w:tc>
          <w:tcPr>
            <w:tcW w:w="3010" w:type="dxa"/>
            <w:tcMar>
              <w:top w:w="80" w:type="dxa"/>
              <w:left w:w="120" w:type="dxa"/>
              <w:bottom w:w="80" w:type="dxa"/>
              <w:right w:w="120" w:type="dxa"/>
            </w:tcMar>
            <w:vAlign w:val="center"/>
          </w:tcPr>
          <w:p w14:paraId="74A45BE6"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form only: 0.469</w:t>
            </w:r>
          </w:p>
        </w:tc>
      </w:tr>
      <w:tr w:rsidR="00CA65E3" w:rsidRPr="001766B7" w14:paraId="302A69D3" w14:textId="77777777">
        <w:tc>
          <w:tcPr>
            <w:tcW w:w="800" w:type="dxa"/>
            <w:tcMar>
              <w:top w:w="80" w:type="dxa"/>
              <w:left w:w="120" w:type="dxa"/>
              <w:bottom w:w="80" w:type="dxa"/>
              <w:right w:w="120" w:type="dxa"/>
            </w:tcMar>
            <w:vAlign w:val="center"/>
          </w:tcPr>
          <w:p w14:paraId="55025831"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Post</w:t>
            </w:r>
          </w:p>
        </w:tc>
        <w:tc>
          <w:tcPr>
            <w:tcW w:w="1500" w:type="dxa"/>
            <w:tcMar>
              <w:top w:w="80" w:type="dxa"/>
              <w:left w:w="120" w:type="dxa"/>
              <w:bottom w:w="80" w:type="dxa"/>
              <w:right w:w="120" w:type="dxa"/>
            </w:tcMar>
            <w:vAlign w:val="center"/>
          </w:tcPr>
          <w:p w14:paraId="55FE22F8"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Gain/loss</w:t>
            </w:r>
          </w:p>
        </w:tc>
        <w:tc>
          <w:tcPr>
            <w:tcW w:w="2250" w:type="dxa"/>
            <w:tcMar>
              <w:top w:w="80" w:type="dxa"/>
              <w:left w:w="120" w:type="dxa"/>
              <w:bottom w:w="80" w:type="dxa"/>
              <w:right w:w="120" w:type="dxa"/>
            </w:tcMar>
            <w:vAlign w:val="center"/>
          </w:tcPr>
          <w:p w14:paraId="119075C3"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All + grid/qualifying</w:t>
            </w:r>
          </w:p>
        </w:tc>
        <w:tc>
          <w:tcPr>
            <w:tcW w:w="1800" w:type="dxa"/>
            <w:tcMar>
              <w:top w:w="80" w:type="dxa"/>
              <w:left w:w="120" w:type="dxa"/>
              <w:bottom w:w="80" w:type="dxa"/>
              <w:right w:w="120" w:type="dxa"/>
            </w:tcMar>
            <w:vAlign w:val="center"/>
          </w:tcPr>
          <w:p w14:paraId="6E02825E"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MAE 2.797</w:t>
            </w:r>
          </w:p>
        </w:tc>
        <w:tc>
          <w:tcPr>
            <w:tcW w:w="3010" w:type="dxa"/>
            <w:tcMar>
              <w:top w:w="80" w:type="dxa"/>
              <w:left w:w="120" w:type="dxa"/>
              <w:bottom w:w="80" w:type="dxa"/>
              <w:right w:w="120" w:type="dxa"/>
            </w:tcMar>
            <w:vAlign w:val="center"/>
          </w:tcPr>
          <w:p w14:paraId="715049C1"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zero/form only: 2.906</w:t>
            </w:r>
          </w:p>
        </w:tc>
      </w:tr>
      <w:tr w:rsidR="00CA65E3" w:rsidRPr="001766B7" w14:paraId="7B6A1C9D" w14:textId="77777777">
        <w:tc>
          <w:tcPr>
            <w:tcW w:w="800" w:type="dxa"/>
            <w:tcMar>
              <w:top w:w="80" w:type="dxa"/>
              <w:left w:w="120" w:type="dxa"/>
              <w:bottom w:w="80" w:type="dxa"/>
              <w:right w:w="120" w:type="dxa"/>
            </w:tcMar>
            <w:vAlign w:val="center"/>
          </w:tcPr>
          <w:p w14:paraId="662A8F1A"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Pre</w:t>
            </w:r>
          </w:p>
        </w:tc>
        <w:tc>
          <w:tcPr>
            <w:tcW w:w="1500" w:type="dxa"/>
            <w:tcMar>
              <w:top w:w="80" w:type="dxa"/>
              <w:left w:w="120" w:type="dxa"/>
              <w:bottom w:w="80" w:type="dxa"/>
              <w:right w:w="120" w:type="dxa"/>
            </w:tcMar>
            <w:vAlign w:val="center"/>
          </w:tcPr>
          <w:p w14:paraId="09C0D548"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Завршна позиција</w:t>
            </w:r>
          </w:p>
        </w:tc>
        <w:tc>
          <w:tcPr>
            <w:tcW w:w="2250" w:type="dxa"/>
            <w:tcMar>
              <w:top w:w="80" w:type="dxa"/>
              <w:left w:w="120" w:type="dxa"/>
              <w:bottom w:w="80" w:type="dxa"/>
              <w:right w:w="120" w:type="dxa"/>
            </w:tcMar>
            <w:vAlign w:val="center"/>
          </w:tcPr>
          <w:p w14:paraId="45C2CFCC"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Form only</w:t>
            </w:r>
          </w:p>
        </w:tc>
        <w:tc>
          <w:tcPr>
            <w:tcW w:w="1800" w:type="dxa"/>
            <w:tcMar>
              <w:top w:w="80" w:type="dxa"/>
              <w:left w:w="120" w:type="dxa"/>
              <w:bottom w:w="80" w:type="dxa"/>
              <w:right w:w="120" w:type="dxa"/>
            </w:tcMar>
            <w:vAlign w:val="center"/>
          </w:tcPr>
          <w:p w14:paraId="5DAA9821"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MAE 3.423</w:t>
            </w:r>
          </w:p>
        </w:tc>
        <w:tc>
          <w:tcPr>
            <w:tcW w:w="3010" w:type="dxa"/>
            <w:tcMar>
              <w:top w:w="80" w:type="dxa"/>
              <w:left w:w="120" w:type="dxa"/>
              <w:bottom w:w="80" w:type="dxa"/>
              <w:right w:w="120" w:type="dxa"/>
            </w:tcMar>
            <w:vAlign w:val="center"/>
          </w:tcPr>
          <w:p w14:paraId="749B0DB7"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all: 3.426</w:t>
            </w:r>
          </w:p>
        </w:tc>
      </w:tr>
      <w:tr w:rsidR="00CA65E3" w:rsidRPr="001766B7" w14:paraId="6DCAE91F" w14:textId="77777777">
        <w:tc>
          <w:tcPr>
            <w:tcW w:w="800" w:type="dxa"/>
            <w:tcMar>
              <w:top w:w="80" w:type="dxa"/>
              <w:left w:w="120" w:type="dxa"/>
              <w:bottom w:w="80" w:type="dxa"/>
              <w:right w:w="120" w:type="dxa"/>
            </w:tcMar>
            <w:vAlign w:val="center"/>
          </w:tcPr>
          <w:p w14:paraId="30D8AC0C"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Pre</w:t>
            </w:r>
          </w:p>
        </w:tc>
        <w:tc>
          <w:tcPr>
            <w:tcW w:w="1500" w:type="dxa"/>
            <w:tcMar>
              <w:top w:w="80" w:type="dxa"/>
              <w:left w:w="120" w:type="dxa"/>
              <w:bottom w:w="80" w:type="dxa"/>
              <w:right w:w="120" w:type="dxa"/>
            </w:tcMar>
            <w:vAlign w:val="center"/>
          </w:tcPr>
          <w:p w14:paraId="034D0954"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Top 10</w:t>
            </w:r>
          </w:p>
        </w:tc>
        <w:tc>
          <w:tcPr>
            <w:tcW w:w="2250" w:type="dxa"/>
            <w:tcMar>
              <w:top w:w="80" w:type="dxa"/>
              <w:left w:w="120" w:type="dxa"/>
              <w:bottom w:w="80" w:type="dxa"/>
              <w:right w:w="120" w:type="dxa"/>
            </w:tcMar>
            <w:vAlign w:val="center"/>
          </w:tcPr>
          <w:p w14:paraId="3D6B7B23"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Form only</w:t>
            </w:r>
          </w:p>
        </w:tc>
        <w:tc>
          <w:tcPr>
            <w:tcW w:w="1800" w:type="dxa"/>
            <w:tcMar>
              <w:top w:w="80" w:type="dxa"/>
              <w:left w:w="120" w:type="dxa"/>
              <w:bottom w:w="80" w:type="dxa"/>
              <w:right w:w="120" w:type="dxa"/>
            </w:tcMar>
            <w:vAlign w:val="center"/>
          </w:tcPr>
          <w:p w14:paraId="5F5FBA38"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ROC-AUC 0.853</w:t>
            </w:r>
          </w:p>
        </w:tc>
        <w:tc>
          <w:tcPr>
            <w:tcW w:w="3010" w:type="dxa"/>
            <w:tcMar>
              <w:top w:w="80" w:type="dxa"/>
              <w:left w:w="120" w:type="dxa"/>
              <w:bottom w:w="80" w:type="dxa"/>
              <w:right w:w="120" w:type="dxa"/>
            </w:tcMar>
            <w:vAlign w:val="center"/>
          </w:tcPr>
          <w:p w14:paraId="7677D247"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all: 0.853</w:t>
            </w:r>
          </w:p>
        </w:tc>
      </w:tr>
      <w:tr w:rsidR="00CA65E3" w:rsidRPr="001766B7" w14:paraId="76A70949" w14:textId="77777777">
        <w:tc>
          <w:tcPr>
            <w:tcW w:w="800" w:type="dxa"/>
            <w:tcMar>
              <w:top w:w="80" w:type="dxa"/>
              <w:left w:w="120" w:type="dxa"/>
              <w:bottom w:w="80" w:type="dxa"/>
              <w:right w:w="120" w:type="dxa"/>
            </w:tcMar>
            <w:vAlign w:val="center"/>
          </w:tcPr>
          <w:p w14:paraId="1C5E49DE"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Pre</w:t>
            </w:r>
          </w:p>
        </w:tc>
        <w:tc>
          <w:tcPr>
            <w:tcW w:w="1500" w:type="dxa"/>
            <w:tcMar>
              <w:top w:w="80" w:type="dxa"/>
              <w:left w:w="120" w:type="dxa"/>
              <w:bottom w:w="80" w:type="dxa"/>
              <w:right w:w="120" w:type="dxa"/>
            </w:tcMar>
            <w:vAlign w:val="center"/>
          </w:tcPr>
          <w:p w14:paraId="68448A02"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Podium</w:t>
            </w:r>
          </w:p>
        </w:tc>
        <w:tc>
          <w:tcPr>
            <w:tcW w:w="2250" w:type="dxa"/>
            <w:tcMar>
              <w:top w:w="80" w:type="dxa"/>
              <w:left w:w="120" w:type="dxa"/>
              <w:bottom w:w="80" w:type="dxa"/>
              <w:right w:w="120" w:type="dxa"/>
            </w:tcMar>
            <w:vAlign w:val="center"/>
          </w:tcPr>
          <w:p w14:paraId="286F700E"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All</w:t>
            </w:r>
          </w:p>
        </w:tc>
        <w:tc>
          <w:tcPr>
            <w:tcW w:w="1800" w:type="dxa"/>
            <w:tcMar>
              <w:top w:w="80" w:type="dxa"/>
              <w:left w:w="120" w:type="dxa"/>
              <w:bottom w:w="80" w:type="dxa"/>
              <w:right w:w="120" w:type="dxa"/>
            </w:tcMar>
            <w:vAlign w:val="center"/>
          </w:tcPr>
          <w:p w14:paraId="562A9031"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PR-AUC 0.507</w:t>
            </w:r>
          </w:p>
        </w:tc>
        <w:tc>
          <w:tcPr>
            <w:tcW w:w="3010" w:type="dxa"/>
            <w:tcMar>
              <w:top w:w="80" w:type="dxa"/>
              <w:left w:w="120" w:type="dxa"/>
              <w:bottom w:w="80" w:type="dxa"/>
              <w:right w:w="120" w:type="dxa"/>
            </w:tcMar>
            <w:vAlign w:val="center"/>
          </w:tcPr>
          <w:p w14:paraId="39EA901A"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form only: 0.473</w:t>
            </w:r>
          </w:p>
        </w:tc>
      </w:tr>
      <w:tr w:rsidR="00CA65E3" w:rsidRPr="001766B7" w14:paraId="5179F6EF" w14:textId="77777777">
        <w:tc>
          <w:tcPr>
            <w:tcW w:w="800" w:type="dxa"/>
            <w:tcMar>
              <w:top w:w="80" w:type="dxa"/>
              <w:left w:w="120" w:type="dxa"/>
              <w:bottom w:w="80" w:type="dxa"/>
              <w:right w:w="120" w:type="dxa"/>
            </w:tcMar>
            <w:vAlign w:val="center"/>
          </w:tcPr>
          <w:p w14:paraId="011C3F8B" w14:textId="77777777" w:rsidR="00CA65E3" w:rsidRPr="001766B7" w:rsidRDefault="00000000">
            <w:pPr>
              <w:spacing w:after="0" w:line="252" w:lineRule="auto"/>
              <w:jc w:val="center"/>
              <w:rPr>
                <w:rFonts w:ascii="Times New Roman" w:hAnsi="Times New Roman" w:cs="Times New Roman"/>
              </w:rPr>
            </w:pPr>
            <w:r w:rsidRPr="001766B7">
              <w:rPr>
                <w:rFonts w:ascii="Times New Roman" w:eastAsia="Calibri" w:hAnsi="Times New Roman" w:cs="Times New Roman"/>
                <w:sz w:val="16"/>
              </w:rPr>
              <w:t>Pre</w:t>
            </w:r>
          </w:p>
        </w:tc>
        <w:tc>
          <w:tcPr>
            <w:tcW w:w="1500" w:type="dxa"/>
            <w:tcMar>
              <w:top w:w="80" w:type="dxa"/>
              <w:left w:w="120" w:type="dxa"/>
              <w:bottom w:w="80" w:type="dxa"/>
              <w:right w:w="120" w:type="dxa"/>
            </w:tcMar>
            <w:vAlign w:val="center"/>
          </w:tcPr>
          <w:p w14:paraId="33BE5B17"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Gain/loss</w:t>
            </w:r>
          </w:p>
        </w:tc>
        <w:tc>
          <w:tcPr>
            <w:tcW w:w="2250" w:type="dxa"/>
            <w:tcMar>
              <w:top w:w="80" w:type="dxa"/>
              <w:left w:w="120" w:type="dxa"/>
              <w:bottom w:w="80" w:type="dxa"/>
              <w:right w:w="120" w:type="dxa"/>
            </w:tcMar>
            <w:vAlign w:val="center"/>
          </w:tcPr>
          <w:p w14:paraId="28B93F8D"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Any; zero baseline</w:t>
            </w:r>
          </w:p>
        </w:tc>
        <w:tc>
          <w:tcPr>
            <w:tcW w:w="1800" w:type="dxa"/>
            <w:tcMar>
              <w:top w:w="80" w:type="dxa"/>
              <w:left w:w="120" w:type="dxa"/>
              <w:bottom w:w="80" w:type="dxa"/>
              <w:right w:w="120" w:type="dxa"/>
            </w:tcMar>
            <w:vAlign w:val="center"/>
          </w:tcPr>
          <w:p w14:paraId="65C7BA0F"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MAE 2.898</w:t>
            </w:r>
          </w:p>
        </w:tc>
        <w:tc>
          <w:tcPr>
            <w:tcW w:w="3010" w:type="dxa"/>
            <w:tcMar>
              <w:top w:w="80" w:type="dxa"/>
              <w:left w:w="120" w:type="dxa"/>
              <w:bottom w:w="80" w:type="dxa"/>
              <w:right w:w="120" w:type="dxa"/>
            </w:tcMar>
            <w:vAlign w:val="center"/>
          </w:tcPr>
          <w:p w14:paraId="3A39ABA0" w14:textId="77777777" w:rsidR="00CA65E3" w:rsidRPr="001766B7" w:rsidRDefault="00000000">
            <w:pPr>
              <w:spacing w:after="0" w:line="252" w:lineRule="auto"/>
              <w:jc w:val="left"/>
              <w:rPr>
                <w:rFonts w:ascii="Times New Roman" w:hAnsi="Times New Roman" w:cs="Times New Roman"/>
              </w:rPr>
            </w:pPr>
            <w:r w:rsidRPr="001766B7">
              <w:rPr>
                <w:rFonts w:ascii="Times New Roman" w:eastAsia="Calibri" w:hAnsi="Times New Roman" w:cs="Times New Roman"/>
                <w:sz w:val="16"/>
              </w:rPr>
              <w:t>нема демонстрирана корист</w:t>
            </w:r>
          </w:p>
        </w:tc>
      </w:tr>
    </w:tbl>
    <w:p w14:paraId="4F03188C" w14:textId="77777777" w:rsidR="00CA65E3" w:rsidRPr="001766B7" w:rsidRDefault="00CA65E3">
      <w:pPr>
        <w:spacing w:after="60"/>
        <w:rPr>
          <w:rFonts w:ascii="Times New Roman" w:hAnsi="Times New Roman" w:cs="Times New Roman"/>
        </w:rPr>
      </w:pPr>
    </w:p>
    <w:p w14:paraId="37C18D2C" w14:textId="1DA4477C" w:rsidR="00CA65E3" w:rsidRPr="00621FDB" w:rsidRDefault="00000000" w:rsidP="00621FDB">
      <w:pPr>
        <w:jc w:val="left"/>
        <w:rPr>
          <w:rFonts w:ascii="Times New Roman" w:hAnsi="Times New Roman" w:cs="Times New Roman"/>
          <w:lang w:val="mk-MK"/>
        </w:rPr>
      </w:pPr>
      <w:r w:rsidRPr="001766B7">
        <w:rPr>
          <w:rFonts w:ascii="Times New Roman" w:eastAsia="Calibri" w:hAnsi="Times New Roman" w:cs="Times New Roman"/>
        </w:rPr>
        <w:t>Полниот post-qualifying сет е најдобар за сите задачи на валидација. Pre-qualifying сликата е повнимателна: form-only е практично изедначен или подобар за завршна позиција и Top 10, додека сите pre-qualifying features имаат умерена предност само за podium. Ова е во согласност со контекстно зависна корист од дополнителните информации, а не со претпоставка дека повеќе features секогаш помагаат.</w:t>
      </w:r>
      <w:r w:rsidR="00621FDB">
        <w:rPr>
          <w:rFonts w:ascii="Times New Roman" w:eastAsia="Calibri" w:hAnsi="Times New Roman" w:cs="Times New Roman"/>
          <w:lang w:val="mk-MK"/>
        </w:rPr>
        <w:br/>
      </w:r>
    </w:p>
    <w:p w14:paraId="1751A1E9"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8. Backend API</w:t>
      </w:r>
    </w:p>
    <w:p w14:paraId="31BD21B7"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Програмскиот интерфејс е имплементиран со FastAPI под префиксот /api/v1. Доменските групи за сезони, трки, возачи, тимови и анализа обезбедуваат пристап до историски и аналитички податоци. Групата за предвидувања управува со генерирањето и преземањето на предвидувања, метаподатоците за моделите и објаснувачките карактеристики. Организацијата по доменски ресурси го прави API-то јасно и за клиентската компонента и за потенцијална надворешна интеграција.</w:t>
      </w:r>
    </w:p>
    <w:p w14:paraId="3FC33A8E"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 xml:space="preserve">За истражувачкиот дел е додаден read-only Model Lab API. Тој не тренира модели и не менува артефакти, туку чита само валидни експериментални резултати од складиштето. Преку него се добиваат листи на успешни експерименти, методолошки преглед, кандидатски резултати, ablation споредби и метаподатоци за графиконите. Ако не е наведен идентификатор, сервисот избира </w:t>
      </w:r>
      <w:r w:rsidRPr="001766B7">
        <w:rPr>
          <w:rFonts w:ascii="Times New Roman" w:eastAsia="Calibri" w:hAnsi="Times New Roman" w:cs="Times New Roman"/>
        </w:rPr>
        <w:lastRenderedPageBreak/>
        <w:t>најнов целосен експеримент; невалидните или нецелосни артефакти се одбиваат со соодветен одговор.</w:t>
      </w:r>
    </w:p>
    <w:p w14:paraId="3FAA2198"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GET /model-lab/experiments — идентификатор, timestamp, контексти, evaluation сезони и статус;</w:t>
      </w:r>
    </w:p>
    <w:p w14:paraId="7CD78D0C"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GET /model-lab/overview — конфигурација, data summary, champions и aggregate leaderboard;</w:t>
      </w:r>
    </w:p>
    <w:p w14:paraId="744AF47A"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GET /model-lab/results — филтрирање по задача, контекст, алгоритам и evaluation сезона;</w:t>
      </w:r>
    </w:p>
    <w:p w14:paraId="7A91D48B"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GET /model-lab/ablations и /model-lab/artifacts — споредби на feature subset-и и metadata за CSV/figure артефакти.</w:t>
      </w:r>
    </w:p>
    <w:p w14:paraId="3C8CDFE4" w14:textId="09AB2ABF" w:rsidR="00621FDB" w:rsidRDefault="00000000">
      <w:pPr>
        <w:rPr>
          <w:rFonts w:ascii="Times New Roman" w:hAnsi="Times New Roman" w:cs="Times New Roman"/>
          <w:lang w:val="mk-MK"/>
        </w:rPr>
      </w:pPr>
      <w:r w:rsidRPr="001766B7">
        <w:rPr>
          <w:rFonts w:ascii="Times New Roman" w:eastAsia="Calibri" w:hAnsi="Times New Roman" w:cs="Times New Roman"/>
        </w:rPr>
        <w:t>Централизираното error handling враќа структурирана грешка, message, request_id и timestamp. Во production може да се користи X-API-Key, а health endpoint-от ја известува достапноста на сервисот, базата и вчитаните модели.</w:t>
      </w:r>
    </w:p>
    <w:p w14:paraId="68EA9B20" w14:textId="77777777" w:rsidR="00621FDB" w:rsidRPr="00621FDB" w:rsidRDefault="00621FDB">
      <w:pPr>
        <w:rPr>
          <w:rFonts w:ascii="Times New Roman" w:hAnsi="Times New Roman" w:cs="Times New Roman"/>
          <w:lang w:val="mk-MK"/>
        </w:rPr>
      </w:pPr>
    </w:p>
    <w:p w14:paraId="45269318"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9. Frontend апликација</w:t>
      </w:r>
    </w:p>
    <w:p w14:paraId="73E5D61C"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Клиентската компонента е React апликација со строго типизирани интерфејси. Заедничката структурна обвивка обезбедува навигација и контекст на сезоната, додека засебните страници ги опфаќаат сезонскиот преглед, конкретна трка, анализа на темпо, стратегија со пневматици, споредба на возачи и предвидувања. Типовите на API слојот ја ограничуваат можноста за несогласување меѓу серверската и клиентската репрезентација на податоците.</w:t>
      </w:r>
    </w:p>
    <w:p w14:paraId="5353DA92"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Model Lab е одвоен од страницата за споредба на едно предвидување со реалниот исход. Првиот модул одговара на истражувачкото прашање кој модел е избран, врз кои сезони и со какви карактеристики; вториот е оперативен преглед на конкретна трка. Ова разграничување е важно за да не се поистоветува успешноста во поединечен настан со валидираната изведба на моделот низ временскиот период.</w:t>
      </w:r>
    </w:p>
    <w:p w14:paraId="52F4EA2E"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Experiment selector и context filter за избор на запишан, успешен run;</w:t>
      </w:r>
    </w:p>
    <w:p w14:paraId="18C8CA12"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task tabs за четирите цели, sortable leaderboard и јасно означен champion;</w:t>
      </w:r>
    </w:p>
    <w:p w14:paraId="69FCC278"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tooltip-и за MAE, PR-AUC, ROC-AUC, Brier score и rank correlation;</w:t>
      </w:r>
    </w:p>
    <w:p w14:paraId="20BD5CB3"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контекстна споредба, ablation приказ и линк од победнички модел кон feature-importance објаснувањето;</w:t>
      </w:r>
    </w:p>
    <w:p w14:paraId="7B9D14AC" w14:textId="5D048312" w:rsidR="00CA65E3" w:rsidRPr="00621FDB" w:rsidRDefault="00000000" w:rsidP="00621FDB">
      <w:pPr>
        <w:pStyle w:val="ListBullet"/>
        <w:rPr>
          <w:rFonts w:ascii="Times New Roman" w:hAnsi="Times New Roman" w:cs="Times New Roman"/>
        </w:rPr>
      </w:pPr>
      <w:r w:rsidRPr="001766B7">
        <w:rPr>
          <w:rFonts w:ascii="Times New Roman" w:eastAsia="Calibri" w:hAnsi="Times New Roman" w:cs="Times New Roman"/>
        </w:rPr>
        <w:t>при секое тврдење за изведба се прикажуваат metric, evaluation period и feature context</w:t>
      </w:r>
      <w:r w:rsidR="00621FDB">
        <w:rPr>
          <w:rFonts w:ascii="Times New Roman" w:eastAsia="Calibri" w:hAnsi="Times New Roman" w:cs="Times New Roman"/>
          <w:lang w:val="mk-MK"/>
        </w:rPr>
        <w:t>.</w:t>
      </w:r>
    </w:p>
    <w:p w14:paraId="542EF4A8"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lastRenderedPageBreak/>
        <w:t>10. Главни функционалности</w:t>
      </w:r>
    </w:p>
    <w:p w14:paraId="286CB9B5"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10.1 Сезонски и тркачки аналитички погледи</w:t>
      </w:r>
    </w:p>
    <w:p w14:paraId="6E1D2513"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Функционалните модули за анализа овозможуваат преглед на календарот, поредоците и основните сезонски статистики, како и навлегување во поединечна трка. Модулот за анализа на трка обединува резултати, најбрзи кругови, промени на позиции, временски услови и графикони за времиња по круг. Модулот за стратегија со пневматици ги прикажува соединенијата, стинтовите и посетите на боксот, а споредбата на возачи поддржува директен увид во избрани перформансни индикатори.</w:t>
      </w:r>
    </w:p>
    <w:p w14:paraId="6F243F50" w14:textId="77777777" w:rsidR="00CA65E3" w:rsidRPr="001766B7" w:rsidRDefault="00000000">
      <w:pPr>
        <w:pBdr>
          <w:top w:val="single" w:sz="12" w:space="0" w:color="AAB7C4"/>
          <w:left w:val="single" w:sz="12" w:space="0" w:color="AAB7C4"/>
          <w:bottom w:val="single" w:sz="12" w:space="0" w:color="AAB7C4"/>
          <w:right w:val="single" w:sz="12" w:space="0" w:color="AAB7C4"/>
        </w:pBdr>
        <w:shd w:val="clear" w:color="auto" w:fill="F4F6F9"/>
        <w:spacing w:before="140" w:after="140" w:line="264" w:lineRule="auto"/>
        <w:jc w:val="left"/>
        <w:rPr>
          <w:rFonts w:ascii="Times New Roman" w:hAnsi="Times New Roman" w:cs="Times New Roman"/>
        </w:rPr>
      </w:pPr>
      <w:r w:rsidRPr="001766B7">
        <w:rPr>
          <w:rFonts w:ascii="Times New Roman" w:eastAsia="Calibri" w:hAnsi="Times New Roman" w:cs="Times New Roman"/>
          <w:b/>
          <w:color w:val="1F4D78"/>
          <w:sz w:val="21"/>
        </w:rPr>
        <w:t xml:space="preserve">ВИЗУЕЛЕН ПРИЛОГ — да се вметне screenshot: </w:t>
      </w:r>
      <w:r w:rsidRPr="001766B7">
        <w:rPr>
          <w:rFonts w:ascii="Times New Roman" w:eastAsia="Calibri" w:hAnsi="Times New Roman" w:cs="Times New Roman"/>
          <w:i/>
          <w:sz w:val="21"/>
        </w:rPr>
        <w:t>Race Analysis: резултати, најбрзи кругови, промени на позиции и временски услови.</w:t>
      </w:r>
    </w:p>
    <w:p w14:paraId="5C9DD22D" w14:textId="77777777" w:rsidR="00CA65E3" w:rsidRPr="001766B7" w:rsidRDefault="00000000">
      <w:pPr>
        <w:spacing w:before="60" w:after="180"/>
        <w:jc w:val="center"/>
        <w:rPr>
          <w:rFonts w:ascii="Times New Roman" w:hAnsi="Times New Roman" w:cs="Times New Roman"/>
        </w:rPr>
      </w:pPr>
      <w:r w:rsidRPr="001766B7">
        <w:rPr>
          <w:rFonts w:ascii="Times New Roman" w:eastAsia="Calibri" w:hAnsi="Times New Roman" w:cs="Times New Roman"/>
          <w:i/>
          <w:color w:val="667085"/>
          <w:sz w:val="19"/>
        </w:rPr>
        <w:t>Слика 6. Race Analysis интерфејс.</w:t>
      </w:r>
    </w:p>
    <w:p w14:paraId="2D94FAC4" w14:textId="77777777" w:rsidR="00CA65E3" w:rsidRPr="001766B7" w:rsidRDefault="00000000">
      <w:pPr>
        <w:pBdr>
          <w:top w:val="single" w:sz="12" w:space="0" w:color="AAB7C4"/>
          <w:left w:val="single" w:sz="12" w:space="0" w:color="AAB7C4"/>
          <w:bottom w:val="single" w:sz="12" w:space="0" w:color="AAB7C4"/>
          <w:right w:val="single" w:sz="12" w:space="0" w:color="AAB7C4"/>
        </w:pBdr>
        <w:shd w:val="clear" w:color="auto" w:fill="F4F6F9"/>
        <w:spacing w:before="140" w:after="140" w:line="264" w:lineRule="auto"/>
        <w:jc w:val="left"/>
        <w:rPr>
          <w:rFonts w:ascii="Times New Roman" w:hAnsi="Times New Roman" w:cs="Times New Roman"/>
        </w:rPr>
      </w:pPr>
      <w:r w:rsidRPr="001766B7">
        <w:rPr>
          <w:rFonts w:ascii="Times New Roman" w:eastAsia="Calibri" w:hAnsi="Times New Roman" w:cs="Times New Roman"/>
          <w:b/>
          <w:color w:val="1F4D78"/>
          <w:sz w:val="21"/>
        </w:rPr>
        <w:t xml:space="preserve">ВИЗУЕЛЕН ПРИЛОГ — да се вметне screenshot: </w:t>
      </w:r>
      <w:r w:rsidRPr="001766B7">
        <w:rPr>
          <w:rFonts w:ascii="Times New Roman" w:eastAsia="Calibri" w:hAnsi="Times New Roman" w:cs="Times New Roman"/>
          <w:i/>
          <w:sz w:val="21"/>
        </w:rPr>
        <w:t>Tyre Strategy: stint timeline, compounds, pit stops и pace споредба.</w:t>
      </w:r>
    </w:p>
    <w:p w14:paraId="4764F2B1" w14:textId="77777777" w:rsidR="00CA65E3" w:rsidRPr="001766B7" w:rsidRDefault="00000000">
      <w:pPr>
        <w:spacing w:before="60" w:after="180"/>
        <w:jc w:val="center"/>
        <w:rPr>
          <w:rFonts w:ascii="Times New Roman" w:hAnsi="Times New Roman" w:cs="Times New Roman"/>
        </w:rPr>
      </w:pPr>
      <w:r w:rsidRPr="001766B7">
        <w:rPr>
          <w:rFonts w:ascii="Times New Roman" w:eastAsia="Calibri" w:hAnsi="Times New Roman" w:cs="Times New Roman"/>
          <w:i/>
          <w:color w:val="667085"/>
          <w:sz w:val="19"/>
        </w:rPr>
        <w:t>Слика 7. Tyre Strategy интерфејс.</w:t>
      </w:r>
    </w:p>
    <w:p w14:paraId="06BF40B4"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10.2 Предвидувачки и истражувачки погледи</w:t>
      </w:r>
    </w:p>
    <w:p w14:paraId="19F638EB" w14:textId="3EE00343" w:rsidR="00CA65E3" w:rsidRDefault="00000000">
      <w:pPr>
        <w:rPr>
          <w:rFonts w:ascii="Times New Roman" w:eastAsia="Calibri" w:hAnsi="Times New Roman" w:cs="Times New Roman"/>
        </w:rPr>
      </w:pPr>
      <w:r w:rsidRPr="001766B7">
        <w:rPr>
          <w:rFonts w:ascii="Times New Roman" w:eastAsia="Calibri" w:hAnsi="Times New Roman" w:cs="Times New Roman"/>
        </w:rPr>
        <w:t>Модулот за предвидување прикажува проценета завршна позиција, веројатност за пласман во првите десет и на подиум, очекувана промена на позиции и индикатор на сигурност за избраниот контекст. За следниот настан системот го одредува препорачаниот контекст според достапноста на квалификациските податоци. Кога постојат официјални резултати, модулот за споредба овозможува визуелна анализа на разликата меѓу предвидениот и остварениот поредок.</w:t>
      </w:r>
    </w:p>
    <w:p w14:paraId="53A6B8C8" w14:textId="77777777" w:rsidR="00621FDB" w:rsidRPr="001766B7" w:rsidRDefault="00621FDB">
      <w:pPr>
        <w:rPr>
          <w:rFonts w:ascii="Times New Roman" w:hAnsi="Times New Roman" w:cs="Times New Roman"/>
        </w:rPr>
      </w:pPr>
    </w:p>
    <w:p w14:paraId="15F254D5"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11. Генерирање и користење предвидувања</w:t>
      </w:r>
    </w:p>
    <w:p w14:paraId="0CAD3178"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При барање за предвидување, серверската компонента најпрво проверува дали за избраната трка постојат потребните редови со карактеристики и дали соодветната група модели е успешно вчитана. Потоа се применуваат моделите избрани за конкретниот контекст, а резултатите се запишуваат со идентификатор на трката и возачот, верзија на моделот, временски контекст и време на генерирање. На тој начин се спречува мешање на предвидувања создадени пред и по квалификациите.</w:t>
      </w:r>
    </w:p>
    <w:p w14:paraId="6B4F8402"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 xml:space="preserve">Промоцијата на модели е намерно одделена од оперативното генерирање предвидувања. Експерименталниот модул најпрво создава манифест, табели со резултати, предвидувања по ред, податоци за калибрација и извештај. Само по успешно завршување се промовираат избраните </w:t>
      </w:r>
      <w:r w:rsidRPr="001766B7">
        <w:rPr>
          <w:rFonts w:ascii="Times New Roman" w:eastAsia="Calibri" w:hAnsi="Times New Roman" w:cs="Times New Roman"/>
        </w:rPr>
        <w:lastRenderedPageBreak/>
        <w:t>модели со имиња што ги очекува сервисот за предвидување. Со ова се зачувува стабилноста на API-то и се овозможува активниот модел секогаш да се поврзе со конкретен експеримент.</w:t>
      </w:r>
    </w:p>
    <w:p w14:paraId="64884280" w14:textId="77777777" w:rsidR="00CA65E3" w:rsidRPr="001766B7" w:rsidRDefault="00000000">
      <w:pPr>
        <w:pBdr>
          <w:top w:val="single" w:sz="12" w:space="0" w:color="AAB7C4"/>
          <w:left w:val="single" w:sz="12" w:space="0" w:color="AAB7C4"/>
          <w:bottom w:val="single" w:sz="12" w:space="0" w:color="AAB7C4"/>
          <w:right w:val="single" w:sz="12" w:space="0" w:color="AAB7C4"/>
        </w:pBdr>
        <w:shd w:val="clear" w:color="auto" w:fill="F4F6F9"/>
        <w:spacing w:before="140" w:after="140" w:line="264" w:lineRule="auto"/>
        <w:jc w:val="left"/>
        <w:rPr>
          <w:rFonts w:ascii="Times New Roman" w:hAnsi="Times New Roman" w:cs="Times New Roman"/>
        </w:rPr>
      </w:pPr>
      <w:r w:rsidRPr="001766B7">
        <w:rPr>
          <w:rFonts w:ascii="Times New Roman" w:eastAsia="Calibri" w:hAnsi="Times New Roman" w:cs="Times New Roman"/>
          <w:b/>
          <w:color w:val="1F4D78"/>
          <w:sz w:val="21"/>
        </w:rPr>
        <w:t xml:space="preserve">ВИЗУЕЛЕН ПРИЛОГ — да се вметне screenshot: </w:t>
      </w:r>
      <w:r w:rsidRPr="001766B7">
        <w:rPr>
          <w:rFonts w:ascii="Times New Roman" w:eastAsia="Calibri" w:hAnsi="Times New Roman" w:cs="Times New Roman"/>
          <w:i/>
          <w:sz w:val="21"/>
        </w:rPr>
        <w:t>Race Predictor: избран контекст, табела со предвидувања и графици.</w:t>
      </w:r>
    </w:p>
    <w:p w14:paraId="0017ED73" w14:textId="612E1515" w:rsidR="00CA65E3" w:rsidRDefault="00000000" w:rsidP="00621FDB">
      <w:pPr>
        <w:spacing w:before="60" w:after="180"/>
        <w:jc w:val="center"/>
        <w:rPr>
          <w:rFonts w:ascii="Times New Roman" w:eastAsia="Calibri" w:hAnsi="Times New Roman" w:cs="Times New Roman"/>
          <w:i/>
          <w:color w:val="667085"/>
          <w:sz w:val="19"/>
        </w:rPr>
      </w:pPr>
      <w:r w:rsidRPr="001766B7">
        <w:rPr>
          <w:rFonts w:ascii="Times New Roman" w:eastAsia="Calibri" w:hAnsi="Times New Roman" w:cs="Times New Roman"/>
          <w:i/>
          <w:color w:val="667085"/>
          <w:sz w:val="19"/>
        </w:rPr>
        <w:t>Слика 8. Race Predictor интерфејс.</w:t>
      </w:r>
    </w:p>
    <w:p w14:paraId="4FC812A0" w14:textId="77777777" w:rsidR="00621FDB" w:rsidRPr="001766B7" w:rsidRDefault="00621FDB" w:rsidP="00621FDB">
      <w:pPr>
        <w:spacing w:before="60" w:after="180"/>
        <w:jc w:val="center"/>
        <w:rPr>
          <w:rFonts w:ascii="Times New Roman" w:hAnsi="Times New Roman" w:cs="Times New Roman"/>
        </w:rPr>
      </w:pPr>
    </w:p>
    <w:p w14:paraId="30FD0482"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12. Репродуцибилност и верификација</w:t>
      </w:r>
    </w:p>
    <w:p w14:paraId="75A2BDC0"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Секој експеримент има единствен идентификатор и независен директориум во складиштето на модели. Манифестот бележи време на извршување, конфигурација, верзии на пакети, случајно семе, листа на карактеристики, број на редови, проверка на комплетност на сезоните и отпечаток на податоците. Табелите со резултати, редовите со предвидувања и калибрациските записи се зачувуваат одделно, што овозможува ретроспективна проверка без повторно тренирање.</w:t>
      </w:r>
    </w:p>
    <w:p w14:paraId="7F566402" w14:textId="77777777" w:rsidR="00CA65E3" w:rsidRPr="001766B7" w:rsidRDefault="00000000">
      <w:pPr>
        <w:rPr>
          <w:rFonts w:ascii="Times New Roman" w:hAnsi="Times New Roman" w:cs="Times New Roman"/>
        </w:rPr>
      </w:pPr>
      <w:r w:rsidRPr="001766B7">
        <w:rPr>
          <w:rFonts w:ascii="Times New Roman" w:eastAsia="Calibri" w:hAnsi="Times New Roman" w:cs="Times New Roman"/>
          <w:color w:val="667085"/>
          <w:sz w:val="19"/>
        </w:rPr>
        <w:t>Репродуцибилниот финален команден запис е: docker compose run --rm ingestion python ml_pipeline/train_models.py --train-seasons 2021 2023 2024 --evaluation-seasons 2025 --min-train-seasons 2 --context all --experiment-id thesis-final-2025-holdout-20260620-r3 --seed 42 --artifact-output-dir models_store --model-output-dir models_store.</w:t>
      </w:r>
    </w:p>
    <w:p w14:paraId="3047AB45"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unit тестови за temporal splitting, no-leakage гаранции, metric/calibration функции, baselines и artifact schema-и;</w:t>
      </w:r>
    </w:p>
    <w:p w14:paraId="48824A5C"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API тестови со привремени artifact директориуми, latest-successful resolution и malformed-artifact случаи;</w:t>
      </w:r>
    </w:p>
    <w:p w14:paraId="496B9286"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frontend build/route верификација за Model Lab и prediction routes;</w:t>
      </w:r>
    </w:p>
    <w:p w14:paraId="3EE0F61F"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рaчна проверка на клучни кориснички сценарија: сезонски преглед, анализа на трка, predictor, prediction comparison и Model Lab.</w:t>
      </w:r>
    </w:p>
    <w:p w14:paraId="574EDC20" w14:textId="77777777" w:rsidR="00CA65E3" w:rsidRDefault="00000000">
      <w:pPr>
        <w:rPr>
          <w:rFonts w:ascii="Times New Roman" w:eastAsia="Calibri" w:hAnsi="Times New Roman" w:cs="Times New Roman"/>
        </w:rPr>
      </w:pPr>
      <w:r w:rsidRPr="001766B7">
        <w:rPr>
          <w:rFonts w:ascii="Times New Roman" w:eastAsia="Calibri" w:hAnsi="Times New Roman" w:cs="Times New Roman"/>
        </w:rPr>
        <w:t>Репродуцибилноста не ја отстранува ограниченоста на сезонскиот примерок, но ја прави анализата проверлива. Истата снимка на податоци, конфигурација и случајно семе треба да доведат до исти артефакти, а секое отстапување може да се лоцира преку манифестот и верзионираните излезни датотеки. Ова е суштинска разлика меѓу истражувачка имплементација и еднократна демонстрација.</w:t>
      </w:r>
    </w:p>
    <w:p w14:paraId="3575A7B7" w14:textId="77777777" w:rsidR="00621FDB" w:rsidRPr="001766B7" w:rsidRDefault="00621FDB">
      <w:pPr>
        <w:rPr>
          <w:rFonts w:ascii="Times New Roman" w:hAnsi="Times New Roman" w:cs="Times New Roman"/>
        </w:rPr>
      </w:pPr>
    </w:p>
    <w:p w14:paraId="075FA1CD"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13. Model Lab: презентација на експериментални докази</w:t>
      </w:r>
    </w:p>
    <w:p w14:paraId="7ACEF7B5"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 xml:space="preserve">Model Lab ја претставува зачуваната експериментална евиденција во аналитички читлив облик. За избраниот експеримент се прикажуваат распоредот на сезони, информацискиот контекст, критериумите за избор, кандидатските модели и достапните графикони. Ознаката за избран модел </w:t>
      </w:r>
      <w:r w:rsidRPr="001766B7">
        <w:rPr>
          <w:rFonts w:ascii="Times New Roman" w:eastAsia="Calibri" w:hAnsi="Times New Roman" w:cs="Times New Roman"/>
        </w:rPr>
        <w:lastRenderedPageBreak/>
        <w:t>произлегува од развојната валидација, а не од ретроспективно избирање на најдобар резултат на завршната сезона.</w:t>
      </w:r>
    </w:p>
    <w:p w14:paraId="7101CA78"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Графиконите се создаваат од зачувани табеларни артефакти, а не од рачно внесени вредности. Тие опфаќаат рангирање на кандидатите, споредба меѓу контекстите, однос меѓу предвидени и реални вредности, ROC и precision–recall криви, калибрациски прикази и ablation споредби. Затоа визуелизацијата е продолжение на репродуцибилниот доказ, а не независен декоративен слој.</w:t>
      </w:r>
    </w:p>
    <w:p w14:paraId="503B383C" w14:textId="60317AD3" w:rsidR="00CA65E3" w:rsidRDefault="00000000">
      <w:pPr>
        <w:rPr>
          <w:rFonts w:ascii="Times New Roman" w:eastAsia="Calibri" w:hAnsi="Times New Roman" w:cs="Times New Roman"/>
        </w:rPr>
      </w:pPr>
      <w:r w:rsidRPr="001766B7">
        <w:rPr>
          <w:rFonts w:ascii="Times New Roman" w:eastAsia="Calibri" w:hAnsi="Times New Roman" w:cs="Times New Roman"/>
        </w:rPr>
        <w:t>За научното пишување се препорачуваат следните captions: „Model leaderboard за [задача], базиран на aggregate_results.csv од thesis-final-2025-holdout-20260620-r3“; „Споредба на pre-qualifying и post-qualifying champion-и на final holdout сезоната 2025“; и „Feature-ablation споредба на validation fold 2024; баровите не претставуваат каузален придонес на features“.</w:t>
      </w:r>
    </w:p>
    <w:p w14:paraId="29668569" w14:textId="77777777" w:rsidR="00621FDB" w:rsidRPr="001766B7" w:rsidRDefault="00621FDB">
      <w:pPr>
        <w:rPr>
          <w:rFonts w:ascii="Times New Roman" w:hAnsi="Times New Roman" w:cs="Times New Roman"/>
        </w:rPr>
      </w:pPr>
    </w:p>
    <w:p w14:paraId="0AE9479E"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14. Ограничувања</w:t>
      </w:r>
    </w:p>
    <w:p w14:paraId="326D2881"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Резултатите треба да се толкуваат како условни аналитички процени, а не како каузални објаснувања или сигурни исходи. Настани како безбедносно возило, прекин на трката, судири, механички откажувања, казни и динамични стратегиски одлуки не се целосно познати во моментот на предвидување. Истото важи и за временските услови за време на трката; оттука, променливите за целната трка се изоставени сè додека не постои потврден предтркачки извор.</w:t>
      </w:r>
    </w:p>
    <w:p w14:paraId="20B7A7DE"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Недостасните резултати за 2022 ја намалуваат rolling-origin валидацијата на еден outer fold и ја зголемуваат неизвесноста на блиски model ranks.</w:t>
      </w:r>
    </w:p>
    <w:p w14:paraId="40AFC2AB"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Podium класата е неурамнотежена; PR-AUC и калибрациските мерки се поинформативни од raw accuracy, но се чувствителни на мал број позитивни случаи.</w:t>
      </w:r>
    </w:p>
    <w:p w14:paraId="31CBFDDA"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Регулативите, автомобилите и конкурентскиот поредок се менуваат меѓу сезони, па 2025 holdout не гарантира стабилност во идна година.</w:t>
      </w:r>
    </w:p>
    <w:p w14:paraId="79D664F7"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Историскиот post-qualifying grid мора да остане усогласен со live feature contract-от; користење qualifying position како proxy треба да биде експлицитно документирано.</w:t>
      </w:r>
    </w:p>
    <w:p w14:paraId="74DC8A3E" w14:textId="1BCEE56C" w:rsidR="00CA65E3" w:rsidRPr="00621FDB" w:rsidRDefault="00000000" w:rsidP="00621FDB">
      <w:pPr>
        <w:pStyle w:val="ListBullet"/>
        <w:rPr>
          <w:rFonts w:ascii="Times New Roman" w:hAnsi="Times New Roman" w:cs="Times New Roman"/>
        </w:rPr>
      </w:pPr>
      <w:r w:rsidRPr="001766B7">
        <w:rPr>
          <w:rFonts w:ascii="Times New Roman" w:eastAsia="Calibri" w:hAnsi="Times New Roman" w:cs="Times New Roman"/>
        </w:rPr>
        <w:t>Недостасни lap податоци, доцни замени на возачи, промени на тим и circuit-name matching можат да внесат measurement error или selection bias.</w:t>
      </w:r>
    </w:p>
    <w:p w14:paraId="31529526" w14:textId="77777777" w:rsidR="00621FDB" w:rsidRPr="00621FDB" w:rsidRDefault="00621FDB" w:rsidP="00621FDB">
      <w:pPr>
        <w:pStyle w:val="ListBullet"/>
        <w:numPr>
          <w:ilvl w:val="0"/>
          <w:numId w:val="0"/>
        </w:numPr>
        <w:rPr>
          <w:rFonts w:ascii="Times New Roman" w:hAnsi="Times New Roman" w:cs="Times New Roman"/>
        </w:rPr>
      </w:pPr>
    </w:p>
    <w:p w14:paraId="4BB0611D"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15. Идни подобрувања</w:t>
      </w:r>
    </w:p>
    <w:p w14:paraId="488A614A"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Враќање или верификација на 2022 race-result coverage и додавање нови завршени сезони за повеќе outer temporal folds.</w:t>
      </w:r>
    </w:p>
    <w:p w14:paraId="7FC31FDB"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Интеграција на timestamped weather-forecast извор со јасен pre-race cutoff пред повторно воведување на временски features.</w:t>
      </w:r>
    </w:p>
    <w:p w14:paraId="7BAA1BCD"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lastRenderedPageBreak/>
        <w:t>Проширување со race-cluster bootstrap интервали и подетална калибрациска анализа, особено за podium класата.</w:t>
      </w:r>
    </w:p>
    <w:p w14:paraId="47F9826E"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Користење на официјален стартен grid за live inference или доследна qualifying-position proxy политика во train и inference.</w:t>
      </w:r>
    </w:p>
    <w:p w14:paraId="4A0D92A6"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Посебен модел за DNF ризик и внимателно моделирање на pit-stop стратегија како дополнителни задачи, а не како скриени features.</w:t>
      </w:r>
    </w:p>
    <w:p w14:paraId="05BFB83C" w14:textId="77777777" w:rsidR="00CA65E3" w:rsidRPr="001766B7" w:rsidRDefault="00000000">
      <w:pPr>
        <w:pStyle w:val="ListBullet"/>
        <w:rPr>
          <w:rFonts w:ascii="Times New Roman" w:hAnsi="Times New Roman" w:cs="Times New Roman"/>
        </w:rPr>
      </w:pPr>
      <w:r w:rsidRPr="001766B7">
        <w:rPr>
          <w:rFonts w:ascii="Times New Roman" w:eastAsia="Calibri" w:hAnsi="Times New Roman" w:cs="Times New Roman"/>
        </w:rPr>
        <w:t>Per-driver explanation, monitoring на drift и верзионирани deployment одлуки во Model Lab.</w:t>
      </w:r>
    </w:p>
    <w:p w14:paraId="0AE6AF73" w14:textId="0B2486C2" w:rsidR="00621FDB" w:rsidRDefault="00000000">
      <w:pPr>
        <w:rPr>
          <w:rFonts w:ascii="Times New Roman" w:hAnsi="Times New Roman" w:cs="Times New Roman"/>
        </w:rPr>
      </w:pPr>
      <w:r w:rsidRPr="001766B7">
        <w:rPr>
          <w:rFonts w:ascii="Times New Roman" w:eastAsia="Calibri" w:hAnsi="Times New Roman" w:cs="Times New Roman"/>
        </w:rPr>
        <w:t>Идните проширувања треба да ја задржат основната дисциплина: новите сигнали прво се проверуваат за availability и provenance, а новите модели се споредуваат на исти temporal folds и се промовираат само ако успешниот експеримент го оправдува тоа.</w:t>
      </w:r>
    </w:p>
    <w:p w14:paraId="5D9BC4C9" w14:textId="77777777" w:rsidR="00621FDB" w:rsidRPr="001766B7" w:rsidRDefault="00621FDB">
      <w:pPr>
        <w:rPr>
          <w:rFonts w:ascii="Times New Roman" w:hAnsi="Times New Roman" w:cs="Times New Roman"/>
        </w:rPr>
      </w:pPr>
    </w:p>
    <w:p w14:paraId="1E422816"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16. Дискусија на резултатите</w:t>
      </w:r>
    </w:p>
    <w:p w14:paraId="6B08903C"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развиениот систем демонстрира како една Formula 1 веб-платформа може да се префокусира во ML-ориентирана теза без да ги изгуби инженерските придобивки од базата, API-то и интерфејсот. Научниот центар на работата е репродуцибилниот експеримент за четири постојни targets и два информациски контексти. Строгото разделување на development од final holdout, исклучувањето на нецелосни 2026 податоци и зачувувањето на артефактите овозможуваат резултатите да се проверат и да не зависат од случајна UI демонстрација.</w:t>
      </w:r>
    </w:p>
    <w:p w14:paraId="429236C6"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Завршната евалуација покажува јасна разлика меѓу информациските контексти за завршната позиција, пласманот во првите десет и пласманот на подиум. Овој резултат е очекуван од аспект на достапноста на стартната и квалификациската информација, но не треба да се претвора во каузален заклучок. Истовремено, изборот на Ridge, Logistic Regression и Random Forest во различни задачи ја нагласува потребата од споредба на модели наместо претходно фаворизирање на една фамилија.</w:t>
      </w:r>
    </w:p>
    <w:p w14:paraId="470870A4" w14:textId="16EB1677" w:rsidR="00CA65E3" w:rsidRDefault="00000000">
      <w:pPr>
        <w:rPr>
          <w:rFonts w:ascii="Times New Roman" w:hAnsi="Times New Roman" w:cs="Times New Roman"/>
        </w:rPr>
      </w:pPr>
      <w:r w:rsidRPr="001766B7">
        <w:rPr>
          <w:rFonts w:ascii="Times New Roman" w:eastAsia="Calibri" w:hAnsi="Times New Roman" w:cs="Times New Roman"/>
        </w:rPr>
        <w:t>Системот треба да се разбере како аналитичка инфраструктура со јасно ограничен опфат. Неговата вредност е во поврзувањето на податоци, моделирање свесно за истекување, трајно зачувани артефакти и читливи визуелизации. Ограничувањата поврзани со инциденти, стратегија, временски услови, неурамнотежени класи и промени меѓу сезони остануваат составен дел од интерпретацијата, а не елемент што се прикрива во корист на поатрактивна презентација.</w:t>
      </w:r>
    </w:p>
    <w:p w14:paraId="77ABA39E" w14:textId="77777777" w:rsidR="00621FDB" w:rsidRPr="001766B7" w:rsidRDefault="00621FDB">
      <w:pPr>
        <w:rPr>
          <w:rFonts w:ascii="Times New Roman" w:hAnsi="Times New Roman" w:cs="Times New Roman"/>
        </w:rPr>
      </w:pPr>
    </w:p>
    <w:p w14:paraId="29D60CA3"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lastRenderedPageBreak/>
        <w:t>17. Детална методолошка анализа</w:t>
      </w:r>
    </w:p>
    <w:p w14:paraId="13AF8084"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Ова поглавје ја разработува методолошката логика што стои зад имплементацијата. Намерата не е само да се наведе кои библиотеки или алгоритми се употребени, туку да се објасни зошто нивната примена е ограничена со временскиот пресек, каква улога имаат базните линии и зошто различните задачи бараат различни мерки на изведба.</w:t>
      </w:r>
    </w:p>
    <w:p w14:paraId="4EE1FD60"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17.1 Достапност на информации и договор за карактеристики</w:t>
      </w:r>
    </w:p>
    <w:p w14:paraId="4EC23945"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Во предвидувачки систем за спортски настани, клучниот методолошки услов е секоја влезна променлива да биде достапна во моментот во кој се носи прогнозата. Поради тоа, карактеристиките не се класифицираат само според нивната статистичка поврзаност со исходот, туку и според нивното потекло и време на појавување. Историската форма, просечното темпо од претходни трки и историјата на патеката се дозволени затоа што се пресметуваат од записи пред целната трка. Квалификацискиот резултат и стартната позиција се дозволени само во вториот контекст, откако тие информации навистина се познати.</w:t>
      </w:r>
    </w:p>
    <w:p w14:paraId="0C1BED67"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Таквиот договор за карактеристики има две последици. Прво, моделите во двата контекста не се директно идентични; тие решаваат иста задача со различна количина дозволени информации. Второ, појавата на подобар резултат по квалификации не смее да се толкува како доказ дека алгоритмот станал „попаметен“, туку дека располага со поблиска информација до исходот. Токму поради ова, споредбата меѓу контекстите е аналитички важна: таа ја мери практичната вредност на дополнителниот предтркачки сигнал.</w:t>
      </w:r>
    </w:p>
    <w:p w14:paraId="266F3A06"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Недостасните нумерички вредности се обработуваат во рамки на pipeline-от со медијана научена од редовите за тренирање. Медијаната е избрана како робусна вредност што е помалку чувствителна на екстреми од аритметичката средина. Стандардизацијата се извршува во истата рамка, што е особено важно за Ridge, ElasticNet и Logistic Regression. На овој начин, ниту еден параметар на претпроцесирањето не се пресметува од валидациската или од завршната сезона.</w:t>
      </w:r>
    </w:p>
    <w:p w14:paraId="1411B519"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17.2 Образложение на кандидатските модели</w:t>
      </w:r>
    </w:p>
    <w:p w14:paraId="065D4D69"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Ridge и ElasticNet се вклучени како контролирани линеарни модели со регуларизација. Во услови со ограничен број завршени сезони и корелирани предиктори, регуларизацијата ја намалува варијансата на проценките и спречува нестабилни коефициенти. Logistic Regression ја има сличната улога за бинарните задачи: обезбедува транспарентна веројатносна основа и јасна референтна точка за тоа дали покомплексен модел навистина е потребен [3, 5].</w:t>
      </w:r>
    </w:p>
    <w:p w14:paraId="446F7A01"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 xml:space="preserve">Random Forest, XGBoost и LightGBM се избрани затоа што можат да опфатат нелинеарни односи и интеракции меѓу карактеристиките. На пример, влијанието на стартната позиција може да не биде еднакво за сите вредности на историското темпо или за сите патеки. Меѓутоа, поголемата </w:t>
      </w:r>
      <w:r w:rsidRPr="001766B7">
        <w:rPr>
          <w:rFonts w:ascii="Times New Roman" w:eastAsia="Calibri" w:hAnsi="Times New Roman" w:cs="Times New Roman"/>
        </w:rPr>
        <w:lastRenderedPageBreak/>
        <w:t>флексибилност не е автоматска предност. Кај мал временски примерок, сложениот модел може да приспособи шум или специфичност на една сезона, па поедноставниот регуларизиран модел често има подобра преносливост кон подоцнежна сезона [4, 6, 7].</w:t>
      </w:r>
    </w:p>
    <w:p w14:paraId="03A84F6F"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Базните линии ја претставуваат минималната вредност што мора да ја надмине научениот модел. За завршната позиција тоа е историската медијана, за веројатносните задачи класната преваленца, а за промена на позиции нулта промена. Во post-qualifying регресијата се прикажува и стартната позиција како оперативна референтна вредност. Ако алгоритмот не надмине ваква едноставна основа, коректниот заклучок е дека достапните карактеристики не носат докажлива дополнителна корист за таа задача.</w:t>
      </w:r>
    </w:p>
    <w:p w14:paraId="6AFC0B58"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17.3 Временска валидација и одвоена завршна евалуација</w:t>
      </w:r>
    </w:p>
    <w:p w14:paraId="624C2DBF"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Поделбата по случајни редови не е погодна за овој проблем затоа што возачите, тимовите и условите од една иста сезона се силно зависни. Наместо тоа, развојната евалуација користи растечки временски прозорец: моделите се учат на постари целосни сезони, а се проверуваат на подоцнежна сезона. Овој принцип ја симулира реалната ситуација во која минатото е достапно, а идниот календар сè уште не е набљудуван.</w:t>
      </w:r>
    </w:p>
    <w:p w14:paraId="1F83DF1E"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Сезоната 2025 е резервирана како завршна проверка. Таа не учествува во избор на алгоритам, праг на класификација или подмножество на карактеристики. Така се избегнува таканаречено оптимистичко пристрасување, при кое истиот тест сет се користи и за избор и за известување на резултат. Ограничувањето е што недостасувачките резултати за 2022 дозволуваат само една надворешна развојна валидација; затоа во трудот се нагласува намалената количина сезонски докази.</w:t>
      </w:r>
    </w:p>
    <w:p w14:paraId="21133680"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За бинарните задачи прагот за категориска одлука не се поставува врз основа на завршната сезона. Веројатностите се прво оценуваат како непрекинати вредности преку ROC-AUC, PR-AUC, Brier score и log loss. Прагот што се користи за F1, precision и recall се избира единствено во рамки на развојните податоци и потоа се замрзнува. Со тоа се одделува квалитетот на рангирање на случаи од изборот на оперативна граница за позитивна класа.</w:t>
      </w:r>
    </w:p>
    <w:p w14:paraId="791E939B"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17.4 Толкување на метриките</w:t>
      </w:r>
    </w:p>
    <w:p w14:paraId="2511899C"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MAE ја мери просечната апсолутна разлика меѓу предвидената и реалната позиција; таа е практична затоа што резултатот се чита во исти единици како пласманот. RMSE дополнително ги нагласува поголемите грешки, додека R² покажува колкав дел од варијабилноста на целната вредност е опфатен во конкретниот тест. Бидејќи суштината на трката е и рангирање на возачите во ист настан, средната Spearman корелација по трка е важна дополнителна мерка, а не замена за MAE.</w:t>
      </w:r>
    </w:p>
    <w:p w14:paraId="2CD8F985"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lastRenderedPageBreak/>
        <w:t>Кај Top 10 задачата класите се помалку неурамнотежени отколку кај podium, па ROC-AUC обезбедува стабилна слика за способноста на моделот да ги рангира позитивните случаи над негативните. Кај podium, позитивната класа е ретка и затоа PR-AUC е попогодна примарна мерка: таа се фокусира на односот меѓу precision и recall во регионот кој е релевантен за позитивните предвидувања. Стапката на точност сама по себе би можела да биде висока и кај модел што речиси никогаш не предвидува подиум.</w:t>
      </w:r>
    </w:p>
    <w:p w14:paraId="1AE9209C"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Калибрацијата е одделен аспект од дискриминацијата. Модел со добар ROC-AUC може правилно да ги рангира возачите, но да испорачува преголеми или премали веројатности. Brier score и log loss казнуваат такви несогласувања, а reliability bins овозможуваат споредба меѓу просечно предвидената и реално набљудуваната фреквенција. Ова е особено значајно кога интерфејсот прикажува веројатности, бидејќи корисникот треба да ги разбере како условни процени, а не како сигурни настани.</w:t>
      </w:r>
    </w:p>
    <w:p w14:paraId="7C94CA79"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17.5 Клучни наоди и нивна граница</w:t>
      </w:r>
    </w:p>
    <w:p w14:paraId="732880EF"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Емпириските резултати покажуваат дека не постои единствена моделска фамилија што доминира во сите задачи. Ridge е избран за процена на завршната позиција, Logistic Regression за пласман во првите десет, а Random Forest за пласман на подиум. Ова е корисен наод сам по себе: тој покажува дека изборот на модел треба да произлегува од конкретната задача, метрика и временска валидација, а не од претпоставката дека градиентните засилувачи секогаш ќе дадат најдобар резултат.</w:t>
      </w:r>
    </w:p>
    <w:p w14:paraId="73E75020"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Post-qualifying контекстот има подобар резултат за завршната позиција, Top 10 и podium. Подобрувањето е конзистентно со тоа што стартната позиција и квалификациските информации претставуваат силни предтркачки сигнали за очекуваниот поредок. Сепак, ова не е каузална анализа на квалификациите: и квалификацискиот резултат и тркачкиот исход се поврзани со дополнителни, ненабљудувани фактори како перформансата на болидот, подготовката на тимот и условите на патеката.</w:t>
      </w:r>
    </w:p>
    <w:p w14:paraId="0BF9CCD8"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Најважниот негативен наод е задачата за промена на позиции пред квалификации. Во развојната валидација нултата промена е подобра од кандидатските научени модели. Наместо да се прикрие овој резултат, тој е задржан како доказ за границата на достапните предтркачки информации. Промената на позиции е силно погодена од старт, стратегија, инциденти, деградација на пневматици и варијабилност во трката, па едноставниот историски сигнал не е доволен за стабилна прогноза.</w:t>
      </w:r>
    </w:p>
    <w:p w14:paraId="09343FA2" w14:textId="77777777" w:rsidR="00CA65E3" w:rsidRPr="001766B7" w:rsidRDefault="00000000">
      <w:pPr>
        <w:rPr>
          <w:rFonts w:ascii="Times New Roman" w:hAnsi="Times New Roman" w:cs="Times New Roman"/>
        </w:rPr>
      </w:pPr>
      <w:r w:rsidRPr="001766B7">
        <w:rPr>
          <w:rFonts w:ascii="Times New Roman" w:hAnsi="Times New Roman" w:cs="Times New Roman"/>
        </w:rPr>
        <w:br w:type="page"/>
      </w:r>
    </w:p>
    <w:p w14:paraId="3479D011"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lastRenderedPageBreak/>
        <w:t>18. Квалитет на имплементацијата и репродуцибилност</w:t>
      </w:r>
    </w:p>
    <w:p w14:paraId="402FE814"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Квалитетот на системот не се оценува само преку изведбата на моделите. Бидејќи предвидувањето зависи од повеќе последователни слоеви, потребни се проверки на внесувањето на податоци, структурата на базата, договорот за карактеристики, API одговорите и клиентските рути. Во развиениот систем, секој слој има ограничена одговорност и може да се тестира независно, што ја намалува веројатноста грешка во визуелниот приказ да се претстави како грешка на моделот или обратно.</w:t>
      </w:r>
    </w:p>
    <w:p w14:paraId="08E7212F"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18.1 Податоци, база и трансформации</w:t>
      </w:r>
    </w:p>
    <w:p w14:paraId="25F0BA5A"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FastF1 се користи како главен програмски извор за сесиски и временски податоци, а внесувањето е организирано во одделни чекори за основните ентитети, резултатите и деталните записи. Релациската шема користи примарни и надворешни клучеви, уникатни ограничувања за сезони и рунди и индекси за најчестите пребарувања. Овие елементи се важни за репродуцибилноста: моделската табела не е самостоен CSV, туку изведена репрезентација што може да се поврзе со изворната трка, возач и контекст [1].</w:t>
      </w:r>
    </w:p>
    <w:p w14:paraId="1F29E3F7"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Проверката на комплетност на сезоните е намерно поставена како fail-closed механизам. Пред започнување на експериментот се проверува дали бројот на зачувани трки одговара на календарот, дали сите настани се во минатото во однос на снимката, дали има разумен број резултати и, за вториот контекст, дали постојат квалификациски записи. Со ова се избегнува ситуација делумно внесена сезона да се појави како наводен тест сет.</w:t>
      </w:r>
    </w:p>
    <w:p w14:paraId="251B4955"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18.2 Серверска компонента и API договор</w:t>
      </w:r>
    </w:p>
    <w:p w14:paraId="22D90A1D"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API-то ги одделува доменските ресурси од истражувачките артефакти. За стандардните аналитички повици се враќаат типизирани информации за сезони, трки, возачи и резултати. За предвидувањата, одговорот носи контекст на моделот, контекст на карактеристиките и верзија на моделот. Тоа е важно бидејќи иста трка може да има предвидување направено пред и по квалификациите, а нивното мешање би создало погрешна споредба.</w:t>
      </w:r>
    </w:p>
    <w:p w14:paraId="7B65B1E7"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Model Lab API намерно е само за читање. Неговите рути не отвораат joblib модели за инференција и не можат да започнат ново тренирање. Наместо тоа, тие филтрираат веќе запишани резултати според експеримент, задача, контекст и алгоритам. Таквата дистинкција ја изолира продукциската услуга од истражувачкиот приказ и овозможува во интерфејсот да се прикаже само артефакт што го поминал контролниот договор за успешен експеримент.</w:t>
      </w:r>
    </w:p>
    <w:p w14:paraId="0766F40A"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lastRenderedPageBreak/>
        <w:t>18.3 Клиентска компонента и аналитичка интерпретација</w:t>
      </w:r>
    </w:p>
    <w:p w14:paraId="13ACE6B2"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Клиентската компонента е дизајнирана да ја поддржи интерпретацијата, а не само да прикаже бројки. Страниците за сезонски и тркачки анализи го обезбедуваат контекстот во кој се чита прогнозата: форма на возач, резултати, темпо и стратегија. Страницата за предвидување јасно го прикажува избраниот информативен контекст, а споредбата со реалниот исход е достапна само кога постојат внесени резултати. Ова го намалува ризикот корисникот да споредува предвидување со непотполен настан.</w:t>
      </w:r>
    </w:p>
    <w:p w14:paraId="6B1B03F1"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Model Lab го додава истражувачкиот слој преку избор на експеримент, приказ на кандидатски модели и споредба на подмножества на карактеристики. Секој резултат е придружен со метрика и евалуациски период. На тој начин, термините „најдобар модел“ и „точност“ не се прикажуваат изолирано, туку секогаш со задача, контекст и правило за селекција. Ова е особено важно во дипломска работа, каде графичкиот приказ треба да ја следи методологијата, а не да ја заменува.</w:t>
      </w:r>
    </w:p>
    <w:p w14:paraId="0673271F" w14:textId="77777777" w:rsidR="00CA65E3" w:rsidRPr="001766B7" w:rsidRDefault="00000000">
      <w:pPr>
        <w:pStyle w:val="Heading2"/>
        <w:rPr>
          <w:rFonts w:ascii="Times New Roman" w:hAnsi="Times New Roman" w:cs="Times New Roman"/>
        </w:rPr>
      </w:pPr>
      <w:r w:rsidRPr="001766B7">
        <w:rPr>
          <w:rFonts w:ascii="Times New Roman" w:hAnsi="Times New Roman" w:cs="Times New Roman"/>
        </w:rPr>
        <w:t>18.4 Тестирање и оперативни проверки</w:t>
      </w:r>
    </w:p>
    <w:p w14:paraId="0AB07967"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Тестовите опфаќаат поделби по време, гаранции против употреба на идни податоци, пресметка на метрики, избор на базни линии и структура на експерименталните артефакти. На API ниво се проверуваат резолуцијата на најнов успешен експеримент, обработката на невалиден идентификатор и филтрирањето на резултатите. На клиентско ниво се проверува изградбата на апликацијата и достапноста на рутите за предвидување и Model Lab. Ваквата распределба на тестови не докажува отсутност на сите грешки, но создава повторлив минимум на доверба при промена на кодот.</w:t>
      </w:r>
    </w:p>
    <w:p w14:paraId="2F2E0D2E"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Контенеризацијата преку Docker Compose го дополнува овој процес со повторлива локална околина. Базата, серверската компонента, клиентската компонента и алатките за прибирање имаат јасно наведени зависности и променливи на околината. Чувствителните вредности не се запишуваат во експерименталните манифести. Во продукциски услови може да се активира API клуч, а здравствената рута известува за поврзаноста со базата и вчитувањето на моделите.</w:t>
      </w:r>
    </w:p>
    <w:p w14:paraId="14BC705C" w14:textId="77777777" w:rsidR="00CA65E3" w:rsidRPr="001766B7" w:rsidRDefault="00000000">
      <w:pPr>
        <w:rPr>
          <w:rFonts w:ascii="Times New Roman" w:hAnsi="Times New Roman" w:cs="Times New Roman"/>
        </w:rPr>
      </w:pPr>
      <w:r w:rsidRPr="001766B7">
        <w:rPr>
          <w:rFonts w:ascii="Times New Roman" w:hAnsi="Times New Roman" w:cs="Times New Roman"/>
        </w:rPr>
        <w:br w:type="page"/>
      </w:r>
    </w:p>
    <w:p w14:paraId="1C2F3A50"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lastRenderedPageBreak/>
        <w:t>19. Заклучок</w:t>
      </w:r>
    </w:p>
    <w:p w14:paraId="5ADCCE13"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Дипломската работа претставува интегриран систем за Formula 1 анализа во кој инженерските и истражувачките компоненти се поставени како една проверлива целина. На ниво на имплементација, системот обединува прибирање податоци, релациско складирање, изведување карактеристики, верзионирано моделирање, REST API и клиентска анализа. На ниво на методологија, централниот принцип е временската коректност: моделот смее да користи само информации што се достапни на избраниот момент на предвидување.</w:t>
      </w:r>
    </w:p>
    <w:p w14:paraId="63DAA5E3"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Резултатите потврдуваат дека информациите од квалификациите носат значајна предвидувачка вредност за процена на завршната позиција и за класификациските задачи. Во исто време, споредбата на кандидати покажува дека сложеноста сама по себе не е критериум за квалитет: регуларизираните линеарни модели и логистичката регресија се избрани во повеќе задачи, додека базната линија без промена на позиции останува најсоодветна за една од задачите пред квалификации. Оттука, научниот придонес е во коректното известување и за позитивните и за негативните наоди.</w:t>
      </w:r>
    </w:p>
    <w:p w14:paraId="561AE063" w14:textId="77777777" w:rsidR="00CA65E3" w:rsidRDefault="00000000">
      <w:pPr>
        <w:rPr>
          <w:rFonts w:ascii="Times New Roman" w:eastAsia="Calibri" w:hAnsi="Times New Roman" w:cs="Times New Roman"/>
        </w:rPr>
      </w:pPr>
      <w:r w:rsidRPr="001766B7">
        <w:rPr>
          <w:rFonts w:ascii="Times New Roman" w:eastAsia="Calibri" w:hAnsi="Times New Roman" w:cs="Times New Roman"/>
        </w:rPr>
        <w:t>Понатамошниот развој треба да се насочи кон повеќе целосни сезони, проверени предтркачки метеоролошки прогнози, интервали на неизвесност групирани по трка и внимателно моделирање на ризикот од незавршување. Сепак, идните проширувања треба да ја задржат воспоставената дисциплина: новата променлива мора прво да има јасно потекло и временска достапност, а новиот модел мора да се спореди со едноставни базни линии и да се оцени на сезона што не учествувала во неговиот избор.</w:t>
      </w:r>
    </w:p>
    <w:p w14:paraId="32A0A0BB" w14:textId="77777777" w:rsidR="00621FDB" w:rsidRPr="001766B7" w:rsidRDefault="00621FDB">
      <w:pPr>
        <w:rPr>
          <w:rFonts w:ascii="Times New Roman" w:hAnsi="Times New Roman" w:cs="Times New Roman"/>
        </w:rPr>
      </w:pPr>
    </w:p>
    <w:p w14:paraId="601F1785"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20. Литература</w:t>
      </w:r>
    </w:p>
    <w:p w14:paraId="23D63630" w14:textId="77777777" w:rsidR="00CA65E3" w:rsidRPr="001766B7" w:rsidRDefault="00000000">
      <w:pPr>
        <w:spacing w:after="80"/>
        <w:ind w:left="403" w:hanging="403"/>
        <w:rPr>
          <w:rFonts w:ascii="Times New Roman" w:hAnsi="Times New Roman" w:cs="Times New Roman"/>
        </w:rPr>
      </w:pPr>
      <w:r w:rsidRPr="001766B7">
        <w:rPr>
          <w:rFonts w:ascii="Times New Roman" w:eastAsia="Calibri" w:hAnsi="Times New Roman" w:cs="Times New Roman"/>
          <w:sz w:val="21"/>
        </w:rPr>
        <w:t>[1] FastF1. Documentation. Достапно на: https://docs.fastf1.dev/ (пристапено јуни 2026).</w:t>
      </w:r>
    </w:p>
    <w:p w14:paraId="6BE9A65A" w14:textId="77777777" w:rsidR="00CA65E3" w:rsidRPr="001766B7" w:rsidRDefault="00000000">
      <w:pPr>
        <w:spacing w:after="80"/>
        <w:ind w:left="403" w:hanging="403"/>
        <w:rPr>
          <w:rFonts w:ascii="Times New Roman" w:hAnsi="Times New Roman" w:cs="Times New Roman"/>
        </w:rPr>
      </w:pPr>
      <w:r w:rsidRPr="001766B7">
        <w:rPr>
          <w:rFonts w:ascii="Times New Roman" w:eastAsia="Calibri" w:hAnsi="Times New Roman" w:cs="Times New Roman"/>
          <w:sz w:val="21"/>
        </w:rPr>
        <w:t>[2] FastAPI. Documentation. Достапно на: https://fastapi.tiangolo.com/ (пристапено јуни 2026).</w:t>
      </w:r>
    </w:p>
    <w:p w14:paraId="7D9FBF81" w14:textId="77777777" w:rsidR="00CA65E3" w:rsidRPr="001766B7" w:rsidRDefault="00000000">
      <w:pPr>
        <w:spacing w:after="80"/>
        <w:ind w:left="403" w:hanging="403"/>
        <w:rPr>
          <w:rFonts w:ascii="Times New Roman" w:hAnsi="Times New Roman" w:cs="Times New Roman"/>
        </w:rPr>
      </w:pPr>
      <w:r w:rsidRPr="001766B7">
        <w:rPr>
          <w:rFonts w:ascii="Times New Roman" w:eastAsia="Calibri" w:hAnsi="Times New Roman" w:cs="Times New Roman"/>
          <w:sz w:val="21"/>
        </w:rPr>
        <w:t>[3] Pedregosa, F. et al. Scikit-learn: Machine Learning in Python. Journal of Machine Learning Research, 12, 2825–2830, 2011.</w:t>
      </w:r>
    </w:p>
    <w:p w14:paraId="7482BEF5" w14:textId="77777777" w:rsidR="00CA65E3" w:rsidRPr="001766B7" w:rsidRDefault="00000000">
      <w:pPr>
        <w:spacing w:after="80"/>
        <w:ind w:left="403" w:hanging="403"/>
        <w:rPr>
          <w:rFonts w:ascii="Times New Roman" w:hAnsi="Times New Roman" w:cs="Times New Roman"/>
        </w:rPr>
      </w:pPr>
      <w:r w:rsidRPr="001766B7">
        <w:rPr>
          <w:rFonts w:ascii="Times New Roman" w:eastAsia="Calibri" w:hAnsi="Times New Roman" w:cs="Times New Roman"/>
          <w:sz w:val="21"/>
        </w:rPr>
        <w:t>[4] Breiman, L. Random Forests. Machine Learning, 45(1), 5–32, 2001.</w:t>
      </w:r>
    </w:p>
    <w:p w14:paraId="56E4AA06" w14:textId="77777777" w:rsidR="00CA65E3" w:rsidRPr="001766B7" w:rsidRDefault="00000000">
      <w:pPr>
        <w:spacing w:after="80"/>
        <w:ind w:left="403" w:hanging="403"/>
        <w:rPr>
          <w:rFonts w:ascii="Times New Roman" w:hAnsi="Times New Roman" w:cs="Times New Roman"/>
        </w:rPr>
      </w:pPr>
      <w:r w:rsidRPr="001766B7">
        <w:rPr>
          <w:rFonts w:ascii="Times New Roman" w:eastAsia="Calibri" w:hAnsi="Times New Roman" w:cs="Times New Roman"/>
          <w:sz w:val="21"/>
        </w:rPr>
        <w:t>[5] Zou, H.; Hastie, T. Regularization and Variable Selection via the Elastic Net. Journal of the Royal Statistical Society: Series B, 67(2), 301–320, 2005.</w:t>
      </w:r>
    </w:p>
    <w:p w14:paraId="1D5B8D1C" w14:textId="77777777" w:rsidR="00CA65E3" w:rsidRPr="001766B7" w:rsidRDefault="00000000">
      <w:pPr>
        <w:spacing w:after="80"/>
        <w:ind w:left="403" w:hanging="403"/>
        <w:rPr>
          <w:rFonts w:ascii="Times New Roman" w:hAnsi="Times New Roman" w:cs="Times New Roman"/>
        </w:rPr>
      </w:pPr>
      <w:r w:rsidRPr="001766B7">
        <w:rPr>
          <w:rFonts w:ascii="Times New Roman" w:eastAsia="Calibri" w:hAnsi="Times New Roman" w:cs="Times New Roman"/>
          <w:sz w:val="21"/>
        </w:rPr>
        <w:t>[6] Chen, T.; Guestrin, C. XGBoost: A Scalable Tree Boosting System. Proceedings of the 22nd ACM SIGKDD International Conference on Knowledge Discovery and Data Mining, 785–794, 2016.</w:t>
      </w:r>
    </w:p>
    <w:p w14:paraId="5C413859" w14:textId="77777777" w:rsidR="00CA65E3" w:rsidRPr="001766B7" w:rsidRDefault="00000000">
      <w:pPr>
        <w:spacing w:after="80"/>
        <w:ind w:left="403" w:hanging="403"/>
        <w:rPr>
          <w:rFonts w:ascii="Times New Roman" w:hAnsi="Times New Roman" w:cs="Times New Roman"/>
        </w:rPr>
      </w:pPr>
      <w:r w:rsidRPr="001766B7">
        <w:rPr>
          <w:rFonts w:ascii="Times New Roman" w:eastAsia="Calibri" w:hAnsi="Times New Roman" w:cs="Times New Roman"/>
          <w:sz w:val="21"/>
        </w:rPr>
        <w:t>[7] Ke, G. et al. LightGBM: A Highly Efficient Gradient Boosting Decision Tree. Advances in Neural Information Processing Systems, 30, 3146–3154, 2017.</w:t>
      </w:r>
    </w:p>
    <w:p w14:paraId="4D1B8B9E" w14:textId="77777777" w:rsidR="00CA65E3" w:rsidRPr="001766B7" w:rsidRDefault="00000000">
      <w:pPr>
        <w:spacing w:after="80"/>
        <w:ind w:left="403" w:hanging="403"/>
        <w:rPr>
          <w:rFonts w:ascii="Times New Roman" w:hAnsi="Times New Roman" w:cs="Times New Roman"/>
        </w:rPr>
      </w:pPr>
      <w:r w:rsidRPr="001766B7">
        <w:rPr>
          <w:rFonts w:ascii="Times New Roman" w:eastAsia="Calibri" w:hAnsi="Times New Roman" w:cs="Times New Roman"/>
          <w:sz w:val="21"/>
        </w:rPr>
        <w:lastRenderedPageBreak/>
        <w:t>[8] PostgreSQL Global Development Group. PostgreSQL Documentation. Достапно на: https://www.postgresql.org/docs/ (пристапено јуни 2026).</w:t>
      </w:r>
    </w:p>
    <w:p w14:paraId="34C80BB5" w14:textId="77777777" w:rsidR="00CA65E3" w:rsidRPr="001766B7" w:rsidRDefault="00000000">
      <w:pPr>
        <w:spacing w:after="80"/>
        <w:ind w:left="403" w:hanging="403"/>
        <w:rPr>
          <w:rFonts w:ascii="Times New Roman" w:hAnsi="Times New Roman" w:cs="Times New Roman"/>
        </w:rPr>
      </w:pPr>
      <w:r w:rsidRPr="001766B7">
        <w:rPr>
          <w:rFonts w:ascii="Times New Roman" w:eastAsia="Calibri" w:hAnsi="Times New Roman" w:cs="Times New Roman"/>
          <w:sz w:val="21"/>
        </w:rPr>
        <w:t>[9] React. Documentation. Достапно на: https://react.dev/ (пристапено јуни 2026).</w:t>
      </w:r>
    </w:p>
    <w:p w14:paraId="7975FA63" w14:textId="77777777" w:rsidR="00CA65E3" w:rsidRPr="001766B7" w:rsidRDefault="00000000">
      <w:pPr>
        <w:spacing w:after="80"/>
        <w:ind w:left="403" w:hanging="403"/>
        <w:rPr>
          <w:rFonts w:ascii="Times New Roman" w:hAnsi="Times New Roman" w:cs="Times New Roman"/>
        </w:rPr>
      </w:pPr>
      <w:r w:rsidRPr="001766B7">
        <w:rPr>
          <w:rFonts w:ascii="Times New Roman" w:eastAsia="Calibri" w:hAnsi="Times New Roman" w:cs="Times New Roman"/>
          <w:sz w:val="21"/>
        </w:rPr>
        <w:t>[10] Локална проектна документација: ml-experiment-design.md, final-experiment-results.md и зачувани артефакти од експериментот thesis-final-2025-holdout-20260620-r3.</w:t>
      </w:r>
    </w:p>
    <w:p w14:paraId="3E13ADCA" w14:textId="77777777" w:rsidR="00CA65E3" w:rsidRPr="001766B7" w:rsidRDefault="00000000">
      <w:pPr>
        <w:spacing w:after="80"/>
        <w:ind w:left="403" w:hanging="403"/>
        <w:rPr>
          <w:rFonts w:ascii="Times New Roman" w:hAnsi="Times New Roman" w:cs="Times New Roman"/>
        </w:rPr>
      </w:pPr>
      <w:r w:rsidRPr="001766B7">
        <w:rPr>
          <w:rFonts w:ascii="Times New Roman" w:eastAsia="Calibri" w:hAnsi="Times New Roman" w:cs="Times New Roman"/>
          <w:sz w:val="21"/>
        </w:rPr>
        <w:t>[11] Kumar, M.; Preethi, N. Formula One Race Analysis Using Machine Learning. Lecture Notes in Networks and Systems, 2023. DOI: https://doi.org/10.1007/978-981-19-6088-8_47.</w:t>
      </w:r>
    </w:p>
    <w:p w14:paraId="13FEE1BF" w14:textId="77777777" w:rsidR="00CA65E3" w:rsidRPr="001766B7" w:rsidRDefault="00000000">
      <w:pPr>
        <w:spacing w:after="80"/>
        <w:ind w:left="403" w:hanging="403"/>
        <w:rPr>
          <w:rFonts w:ascii="Times New Roman" w:hAnsi="Times New Roman" w:cs="Times New Roman"/>
        </w:rPr>
      </w:pPr>
      <w:r w:rsidRPr="001766B7">
        <w:rPr>
          <w:rFonts w:ascii="Times New Roman" w:eastAsia="Calibri" w:hAnsi="Times New Roman" w:cs="Times New Roman"/>
          <w:sz w:val="21"/>
        </w:rPr>
        <w:t>[12] Alahmadi, L.; Alrumaih, Z.; Alshammari, S.; Khan, M. A.; Bashar, A. Predicting Formula One Race Outcomes Using Supervised Machine Learning. 2026 IEEE 15th International Conference on Communication Systems and Network Technologies, 2026. DOI: https://doi.org/10.1109/CSNT69054.2026.11502479.</w:t>
      </w:r>
    </w:p>
    <w:p w14:paraId="34271B2D" w14:textId="66F60727" w:rsidR="00CA65E3" w:rsidRDefault="00000000">
      <w:pPr>
        <w:spacing w:after="80"/>
        <w:ind w:left="403" w:hanging="403"/>
        <w:rPr>
          <w:rFonts w:ascii="Times New Roman" w:eastAsia="Calibri" w:hAnsi="Times New Roman" w:cs="Times New Roman"/>
          <w:sz w:val="21"/>
        </w:rPr>
      </w:pPr>
      <w:r w:rsidRPr="001766B7">
        <w:rPr>
          <w:rFonts w:ascii="Times New Roman" w:eastAsia="Calibri" w:hAnsi="Times New Roman" w:cs="Times New Roman"/>
          <w:sz w:val="21"/>
        </w:rPr>
        <w:t xml:space="preserve">[13] Thomas, D. et al. Explainable Reinforcement Learning for Formula One Race Strategy. Proceedings of the 40th ACM/SIGAPP Symposium on Applied Computing, 2025. DOI: </w:t>
      </w:r>
      <w:hyperlink r:id="rId13" w:history="1">
        <w:r w:rsidR="00621FDB" w:rsidRPr="004538A6">
          <w:rPr>
            <w:rStyle w:val="Hyperlink"/>
            <w:rFonts w:ascii="Times New Roman" w:eastAsia="Calibri" w:hAnsi="Times New Roman" w:cs="Times New Roman"/>
            <w:sz w:val="21"/>
          </w:rPr>
          <w:t>https://doi.org/10.1145/3672608.3707766</w:t>
        </w:r>
      </w:hyperlink>
      <w:r w:rsidRPr="001766B7">
        <w:rPr>
          <w:rFonts w:ascii="Times New Roman" w:eastAsia="Calibri" w:hAnsi="Times New Roman" w:cs="Times New Roman"/>
          <w:sz w:val="21"/>
        </w:rPr>
        <w:t>.</w:t>
      </w:r>
    </w:p>
    <w:p w14:paraId="3FC2C775" w14:textId="77777777" w:rsidR="00621FDB" w:rsidRPr="001766B7" w:rsidRDefault="00621FDB">
      <w:pPr>
        <w:spacing w:after="80"/>
        <w:ind w:left="403" w:hanging="403"/>
        <w:rPr>
          <w:rFonts w:ascii="Times New Roman" w:hAnsi="Times New Roman" w:cs="Times New Roman"/>
        </w:rPr>
      </w:pPr>
    </w:p>
    <w:p w14:paraId="5B4A6F6D" w14:textId="77777777" w:rsidR="00CA65E3" w:rsidRPr="001766B7" w:rsidRDefault="00000000">
      <w:pPr>
        <w:pStyle w:val="Heading1"/>
        <w:rPr>
          <w:rFonts w:ascii="Times New Roman" w:hAnsi="Times New Roman" w:cs="Times New Roman"/>
        </w:rPr>
      </w:pPr>
      <w:r w:rsidRPr="001766B7">
        <w:rPr>
          <w:rFonts w:ascii="Times New Roman" w:hAnsi="Times New Roman" w:cs="Times New Roman"/>
        </w:rPr>
        <w:t>Прилог А. Планирани визуелни прилози</w:t>
      </w:r>
    </w:p>
    <w:p w14:paraId="51A19FE2" w14:textId="77777777" w:rsidR="00CA65E3" w:rsidRPr="001766B7" w:rsidRDefault="00000000">
      <w:pPr>
        <w:rPr>
          <w:rFonts w:ascii="Times New Roman" w:hAnsi="Times New Roman" w:cs="Times New Roman"/>
        </w:rPr>
      </w:pPr>
      <w:r w:rsidRPr="001766B7">
        <w:rPr>
          <w:rFonts w:ascii="Times New Roman" w:eastAsia="Calibri" w:hAnsi="Times New Roman" w:cs="Times New Roman"/>
        </w:rPr>
        <w:t>Во финалното уредување, на наведените места може да се вметнат снимки од локално извршената апликација. Секоја слика треба да има читливи ознаки на оски и контроли, да не прикажува тајни параметри и да биде придружена со соодветниот натпис од текстот.</w:t>
      </w:r>
    </w:p>
    <w:p w14:paraId="407F8189" w14:textId="77777777" w:rsidR="00CA65E3" w:rsidRPr="001766B7" w:rsidRDefault="00000000">
      <w:pPr>
        <w:pBdr>
          <w:top w:val="single" w:sz="12" w:space="0" w:color="AAB7C4"/>
          <w:left w:val="single" w:sz="12" w:space="0" w:color="AAB7C4"/>
          <w:bottom w:val="single" w:sz="12" w:space="0" w:color="AAB7C4"/>
          <w:right w:val="single" w:sz="12" w:space="0" w:color="AAB7C4"/>
        </w:pBdr>
        <w:shd w:val="clear" w:color="auto" w:fill="F4F6F9"/>
        <w:spacing w:before="140" w:after="140" w:line="264" w:lineRule="auto"/>
        <w:jc w:val="left"/>
        <w:rPr>
          <w:rFonts w:ascii="Times New Roman" w:hAnsi="Times New Roman" w:cs="Times New Roman"/>
        </w:rPr>
      </w:pPr>
      <w:r w:rsidRPr="001766B7">
        <w:rPr>
          <w:rFonts w:ascii="Times New Roman" w:eastAsia="Calibri" w:hAnsi="Times New Roman" w:cs="Times New Roman"/>
          <w:b/>
          <w:color w:val="1F4D78"/>
          <w:sz w:val="21"/>
        </w:rPr>
        <w:t xml:space="preserve">ВИЗУЕЛЕН ПРИЛОГ — да се вметне screenshot: </w:t>
      </w:r>
      <w:r w:rsidRPr="001766B7">
        <w:rPr>
          <w:rFonts w:ascii="Times New Roman" w:eastAsia="Calibri" w:hAnsi="Times New Roman" w:cs="Times New Roman"/>
          <w:i/>
          <w:sz w:val="21"/>
        </w:rPr>
        <w:t>Season Overview: календар, табела на пласман и сезонска статистика.</w:t>
      </w:r>
    </w:p>
    <w:p w14:paraId="769935D7" w14:textId="77777777" w:rsidR="00CA65E3" w:rsidRPr="001766B7" w:rsidRDefault="00000000">
      <w:pPr>
        <w:spacing w:before="60" w:after="180"/>
        <w:jc w:val="center"/>
        <w:rPr>
          <w:rFonts w:ascii="Times New Roman" w:hAnsi="Times New Roman" w:cs="Times New Roman"/>
        </w:rPr>
      </w:pPr>
      <w:r w:rsidRPr="001766B7">
        <w:rPr>
          <w:rFonts w:ascii="Times New Roman" w:eastAsia="Calibri" w:hAnsi="Times New Roman" w:cs="Times New Roman"/>
          <w:i/>
          <w:color w:val="667085"/>
          <w:sz w:val="19"/>
        </w:rPr>
        <w:t>Слика A.1. Season Overview.</w:t>
      </w:r>
    </w:p>
    <w:p w14:paraId="6EB36779" w14:textId="77777777" w:rsidR="00CA65E3" w:rsidRPr="001766B7" w:rsidRDefault="00000000">
      <w:pPr>
        <w:pBdr>
          <w:top w:val="single" w:sz="12" w:space="0" w:color="AAB7C4"/>
          <w:left w:val="single" w:sz="12" w:space="0" w:color="AAB7C4"/>
          <w:bottom w:val="single" w:sz="12" w:space="0" w:color="AAB7C4"/>
          <w:right w:val="single" w:sz="12" w:space="0" w:color="AAB7C4"/>
        </w:pBdr>
        <w:shd w:val="clear" w:color="auto" w:fill="F4F6F9"/>
        <w:spacing w:before="140" w:after="140" w:line="264" w:lineRule="auto"/>
        <w:jc w:val="left"/>
        <w:rPr>
          <w:rFonts w:ascii="Times New Roman" w:hAnsi="Times New Roman" w:cs="Times New Roman"/>
        </w:rPr>
      </w:pPr>
      <w:r w:rsidRPr="001766B7">
        <w:rPr>
          <w:rFonts w:ascii="Times New Roman" w:eastAsia="Calibri" w:hAnsi="Times New Roman" w:cs="Times New Roman"/>
          <w:b/>
          <w:color w:val="1F4D78"/>
          <w:sz w:val="21"/>
        </w:rPr>
        <w:t xml:space="preserve">ВИЗУЕЛЕН ПРИЛОГ — да се вметне screenshot: </w:t>
      </w:r>
      <w:r w:rsidRPr="001766B7">
        <w:rPr>
          <w:rFonts w:ascii="Times New Roman" w:eastAsia="Calibri" w:hAnsi="Times New Roman" w:cs="Times New Roman"/>
          <w:i/>
          <w:sz w:val="21"/>
        </w:rPr>
        <w:t>Next Race: автоматски избран prediction context и акции за генерирање.</w:t>
      </w:r>
    </w:p>
    <w:p w14:paraId="73957C39" w14:textId="77777777" w:rsidR="00CA65E3" w:rsidRPr="001766B7" w:rsidRDefault="00000000">
      <w:pPr>
        <w:spacing w:before="60" w:after="180"/>
        <w:jc w:val="center"/>
        <w:rPr>
          <w:rFonts w:ascii="Times New Roman" w:hAnsi="Times New Roman" w:cs="Times New Roman"/>
        </w:rPr>
      </w:pPr>
      <w:r w:rsidRPr="001766B7">
        <w:rPr>
          <w:rFonts w:ascii="Times New Roman" w:eastAsia="Calibri" w:hAnsi="Times New Roman" w:cs="Times New Roman"/>
          <w:i/>
          <w:color w:val="667085"/>
          <w:sz w:val="19"/>
        </w:rPr>
        <w:t>Слика A.2. Next Race Prediction.</w:t>
      </w:r>
    </w:p>
    <w:p w14:paraId="48CB8CDE" w14:textId="77777777" w:rsidR="00CA65E3" w:rsidRPr="001766B7" w:rsidRDefault="00000000">
      <w:pPr>
        <w:pBdr>
          <w:top w:val="single" w:sz="12" w:space="0" w:color="AAB7C4"/>
          <w:left w:val="single" w:sz="12" w:space="0" w:color="AAB7C4"/>
          <w:bottom w:val="single" w:sz="12" w:space="0" w:color="AAB7C4"/>
          <w:right w:val="single" w:sz="12" w:space="0" w:color="AAB7C4"/>
        </w:pBdr>
        <w:shd w:val="clear" w:color="auto" w:fill="F4F6F9"/>
        <w:spacing w:before="140" w:after="140" w:line="264" w:lineRule="auto"/>
        <w:jc w:val="left"/>
        <w:rPr>
          <w:rFonts w:ascii="Times New Roman" w:hAnsi="Times New Roman" w:cs="Times New Roman"/>
        </w:rPr>
      </w:pPr>
      <w:r w:rsidRPr="001766B7">
        <w:rPr>
          <w:rFonts w:ascii="Times New Roman" w:eastAsia="Calibri" w:hAnsi="Times New Roman" w:cs="Times New Roman"/>
          <w:b/>
          <w:color w:val="1F4D78"/>
          <w:sz w:val="21"/>
        </w:rPr>
        <w:t xml:space="preserve">ВИЗУЕЛЕН ПРИЛОГ — да се вметне screenshot: </w:t>
      </w:r>
      <w:r w:rsidRPr="001766B7">
        <w:rPr>
          <w:rFonts w:ascii="Times New Roman" w:eastAsia="Calibri" w:hAnsi="Times New Roman" w:cs="Times New Roman"/>
          <w:i/>
          <w:sz w:val="21"/>
        </w:rPr>
        <w:t>Prediction Comparison: грешка по возач и споредба на предвидено со реално.</w:t>
      </w:r>
    </w:p>
    <w:p w14:paraId="43E80BB9" w14:textId="77777777" w:rsidR="00CA65E3" w:rsidRPr="001766B7" w:rsidRDefault="00000000">
      <w:pPr>
        <w:spacing w:before="60" w:after="180"/>
        <w:jc w:val="center"/>
        <w:rPr>
          <w:rFonts w:ascii="Times New Roman" w:hAnsi="Times New Roman" w:cs="Times New Roman"/>
        </w:rPr>
      </w:pPr>
      <w:r w:rsidRPr="001766B7">
        <w:rPr>
          <w:rFonts w:ascii="Times New Roman" w:eastAsia="Calibri" w:hAnsi="Times New Roman" w:cs="Times New Roman"/>
          <w:i/>
          <w:color w:val="667085"/>
          <w:sz w:val="19"/>
        </w:rPr>
        <w:t>Слика A.3. Prediction Comparison.</w:t>
      </w:r>
    </w:p>
    <w:p w14:paraId="38168156" w14:textId="77777777" w:rsidR="00CA65E3" w:rsidRPr="001766B7" w:rsidRDefault="00000000">
      <w:pPr>
        <w:pBdr>
          <w:top w:val="single" w:sz="12" w:space="0" w:color="AAB7C4"/>
          <w:left w:val="single" w:sz="12" w:space="0" w:color="AAB7C4"/>
          <w:bottom w:val="single" w:sz="12" w:space="0" w:color="AAB7C4"/>
          <w:right w:val="single" w:sz="12" w:space="0" w:color="AAB7C4"/>
        </w:pBdr>
        <w:shd w:val="clear" w:color="auto" w:fill="F4F6F9"/>
        <w:spacing w:before="140" w:after="140" w:line="264" w:lineRule="auto"/>
        <w:jc w:val="left"/>
        <w:rPr>
          <w:rFonts w:ascii="Times New Roman" w:hAnsi="Times New Roman" w:cs="Times New Roman"/>
        </w:rPr>
      </w:pPr>
      <w:r w:rsidRPr="001766B7">
        <w:rPr>
          <w:rFonts w:ascii="Times New Roman" w:eastAsia="Calibri" w:hAnsi="Times New Roman" w:cs="Times New Roman"/>
          <w:b/>
          <w:color w:val="1F4D78"/>
          <w:sz w:val="21"/>
        </w:rPr>
        <w:t xml:space="preserve">ВИЗУЕЛЕН ПРИЛОГ — да се вметне screenshot: </w:t>
      </w:r>
      <w:r w:rsidRPr="001766B7">
        <w:rPr>
          <w:rFonts w:ascii="Times New Roman" w:eastAsia="Calibri" w:hAnsi="Times New Roman" w:cs="Times New Roman"/>
          <w:i/>
          <w:sz w:val="21"/>
        </w:rPr>
        <w:t>Model Lab: избор на експеримент, leaderboard, контексти и ablation графикони.</w:t>
      </w:r>
    </w:p>
    <w:p w14:paraId="526CA4DF" w14:textId="77777777" w:rsidR="00CA65E3" w:rsidRPr="001766B7" w:rsidRDefault="00000000">
      <w:pPr>
        <w:spacing w:before="60" w:after="180"/>
        <w:jc w:val="center"/>
        <w:rPr>
          <w:rFonts w:ascii="Times New Roman" w:hAnsi="Times New Roman" w:cs="Times New Roman"/>
        </w:rPr>
      </w:pPr>
      <w:r w:rsidRPr="001766B7">
        <w:rPr>
          <w:rFonts w:ascii="Times New Roman" w:eastAsia="Calibri" w:hAnsi="Times New Roman" w:cs="Times New Roman"/>
          <w:i/>
          <w:color w:val="667085"/>
          <w:sz w:val="19"/>
        </w:rPr>
        <w:t>Слика A.4. Model Lab.</w:t>
      </w:r>
    </w:p>
    <w:sectPr w:rsidR="00CA65E3" w:rsidRPr="001766B7"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6B5D5" w14:textId="77777777" w:rsidR="008932E8" w:rsidRDefault="008932E8">
      <w:pPr>
        <w:spacing w:after="0" w:line="240" w:lineRule="auto"/>
      </w:pPr>
      <w:r>
        <w:separator/>
      </w:r>
    </w:p>
  </w:endnote>
  <w:endnote w:type="continuationSeparator" w:id="0">
    <w:p w14:paraId="748C2EBB" w14:textId="77777777" w:rsidR="008932E8" w:rsidRDefault="00893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63AF" w14:textId="77777777" w:rsidR="00CA65E3" w:rsidRDefault="00000000">
    <w:pPr>
      <w:pStyle w:val="Footer"/>
      <w:jc w:val="right"/>
    </w:pPr>
    <w:r>
      <w:rPr>
        <w:rFonts w:eastAsia="Calibri"/>
        <w:color w:val="667085"/>
        <w:sz w:val="18"/>
      </w:rPr>
      <w:t xml:space="preserve">Страница </w:t>
    </w:r>
    <w:r>
      <w:rPr>
        <w:rFonts w:eastAsia="Calibri"/>
        <w:color w:val="667085"/>
        <w:sz w:val="18"/>
      </w:rPr>
      <w:fldChar w:fldCharType="begin"/>
    </w:r>
    <w:r>
      <w:rPr>
        <w:rFonts w:eastAsia="Calibri"/>
        <w:color w:val="667085"/>
        <w:sz w:val="18"/>
      </w:rPr>
      <w:instrText xml:space="preserve"> PAGE </w:instrText>
    </w:r>
    <w:r w:rsidR="001766B7">
      <w:rPr>
        <w:rFonts w:eastAsia="Calibri"/>
        <w:color w:val="667085"/>
        <w:sz w:val="18"/>
      </w:rPr>
      <w:fldChar w:fldCharType="separate"/>
    </w:r>
    <w:r w:rsidR="001766B7">
      <w:rPr>
        <w:rFonts w:eastAsia="Calibri"/>
        <w:noProof/>
        <w:color w:val="667085"/>
        <w:sz w:val="18"/>
      </w:rPr>
      <w:t>1</w:t>
    </w:r>
    <w:r>
      <w:rPr>
        <w:rFonts w:eastAsia="Calibri"/>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B5C05" w14:textId="77777777" w:rsidR="008932E8" w:rsidRDefault="008932E8">
      <w:pPr>
        <w:spacing w:after="0" w:line="240" w:lineRule="auto"/>
      </w:pPr>
      <w:r>
        <w:separator/>
      </w:r>
    </w:p>
  </w:footnote>
  <w:footnote w:type="continuationSeparator" w:id="0">
    <w:p w14:paraId="48E3FB36" w14:textId="77777777" w:rsidR="008932E8" w:rsidRDefault="00893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23EAC" w14:textId="77777777" w:rsidR="00CA65E3" w:rsidRDefault="00000000">
    <w:pPr>
      <w:pStyle w:val="Header"/>
      <w:jc w:val="right"/>
    </w:pPr>
    <w:r>
      <w:rPr>
        <w:rFonts w:eastAsia="Calibri"/>
        <w:i/>
        <w:color w:val="667085"/>
        <w:sz w:val="18"/>
      </w:rPr>
      <w:t>Дипломска работа | Анализа и предвидување во Formula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199436">
    <w:abstractNumId w:val="8"/>
  </w:num>
  <w:num w:numId="2" w16cid:durableId="585696692">
    <w:abstractNumId w:val="6"/>
  </w:num>
  <w:num w:numId="3" w16cid:durableId="982809316">
    <w:abstractNumId w:val="5"/>
  </w:num>
  <w:num w:numId="4" w16cid:durableId="1536426788">
    <w:abstractNumId w:val="4"/>
  </w:num>
  <w:num w:numId="5" w16cid:durableId="1868521045">
    <w:abstractNumId w:val="7"/>
  </w:num>
  <w:num w:numId="6" w16cid:durableId="1781147091">
    <w:abstractNumId w:val="3"/>
  </w:num>
  <w:num w:numId="7" w16cid:durableId="517429564">
    <w:abstractNumId w:val="2"/>
  </w:num>
  <w:num w:numId="8" w16cid:durableId="331642021">
    <w:abstractNumId w:val="1"/>
  </w:num>
  <w:num w:numId="9" w16cid:durableId="1679238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6B7"/>
    <w:rsid w:val="0029639D"/>
    <w:rsid w:val="00326F90"/>
    <w:rsid w:val="00621FDB"/>
    <w:rsid w:val="00877363"/>
    <w:rsid w:val="008932E8"/>
    <w:rsid w:val="00AA1D8D"/>
    <w:rsid w:val="00B47730"/>
    <w:rsid w:val="00CA65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E965C"/>
  <w14:defaultImageDpi w14:val="300"/>
  <w15:docId w15:val="{3D461102-2C41-4B46-B211-D2F0A635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1FDB"/>
    <w:rPr>
      <w:color w:val="0000FF" w:themeColor="hyperlink"/>
      <w:u w:val="single"/>
    </w:rPr>
  </w:style>
  <w:style w:type="character" w:styleId="UnresolvedMention">
    <w:name w:val="Unresolved Mention"/>
    <w:basedOn w:val="DefaultParagraphFont"/>
    <w:uiPriority w:val="99"/>
    <w:semiHidden/>
    <w:unhideWhenUsed/>
    <w:rsid w:val="00621F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45/3672608.370776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26</Pages>
  <Words>7315</Words>
  <Characters>41698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Систем за анализа и предвидување во Formula 1</vt:lpstr>
    </vt:vector>
  </TitlesOfParts>
  <Manager/>
  <Company/>
  <LinksUpToDate>false</LinksUpToDate>
  <CharactersWithSpaces>48916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 за анализа и предвидување во Formula 1</dc:title>
  <dc:subject>Дипломска работа за веб-систем и репродуцибилно машинско учење</dc:subject>
  <dc:creator>Автор: ____________________</dc:creator>
  <cp:keywords/>
  <dc:description>Подготвено од локалната проектна документација; визуелните прилози се означени како места за дополнително вметнување.</dc:description>
  <cp:lastModifiedBy>Бунчески Илија</cp:lastModifiedBy>
  <cp:revision>2</cp:revision>
  <dcterms:created xsi:type="dcterms:W3CDTF">2013-12-23T23:15:00Z</dcterms:created>
  <dcterms:modified xsi:type="dcterms:W3CDTF">2026-06-20T18:03:00Z</dcterms:modified>
  <cp:category/>
</cp:coreProperties>
</file>