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before="240" w:after="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lang w:val="es-ES"/>
        </w:rPr>
        <w:t>Bienvenidos al sitio de la estaci</w:t>
      </w:r>
      <w:r>
        <w:rPr>
          <w:rFonts w:eastAsia="" w:cs="" w:cstheme="majorBidi" w:eastAsiaTheme="majorEastAsia"/>
          <w:color w:val="000000" w:themeShade="bf"/>
          <w:kern w:val="0"/>
          <w:sz w:val="22"/>
          <w:szCs w:val="22"/>
          <w:lang w:val="es-ES" w:eastAsia="en-US" w:bidi="ar-SA"/>
        </w:rPr>
        <w:t xml:space="preserve">ón receptora </w:t>
      </w:r>
      <w:r>
        <w:rPr>
          <w:color w:val="000000"/>
          <w:sz w:val="22"/>
          <w:szCs w:val="22"/>
          <w:lang w:val="es-ES"/>
        </w:rPr>
        <w:t>LAVNet-Ar</w:t>
      </w:r>
    </w:p>
    <w:p>
      <w:pPr>
        <w:pStyle w:val="Normal"/>
        <w:spacing w:before="240" w:after="0"/>
        <w:jc w:val="center"/>
        <w:rPr/>
      </w:pPr>
      <w:r>
        <w:rPr/>
        <w:t>(Latin America Very Low Frequency  Network - Argentina)</w:t>
      </w:r>
    </w:p>
    <w:p>
      <w:pPr>
        <w:pStyle w:val="Normal"/>
        <w:ind w:firstLine="567"/>
        <w:jc w:val="both"/>
        <w:rPr>
          <w:rFonts w:ascii="Arial" w:hAnsi="Arial" w:cs="Arial"/>
          <w:sz w:val="24"/>
          <w:szCs w:val="24"/>
          <w:lang w:val="es-ES"/>
        </w:rPr>
      </w:pPr>
      <w:r>
        <w:rPr/>
      </w:r>
    </w:p>
    <w:p>
      <w:pPr>
        <w:pStyle w:val="Normal"/>
        <w:ind w:hanging="0"/>
        <w:jc w:val="both"/>
        <w:rPr>
          <w:rFonts w:ascii="Liberation Sans" w:hAnsi="Liberation Sans"/>
          <w:sz w:val="22"/>
          <w:szCs w:val="22"/>
        </w:rPr>
      </w:pPr>
      <w:r>
        <w:rPr>
          <w:rFonts w:cs="Arial" w:ascii="Liberation Sans" w:hAnsi="Liberation Sans"/>
          <w:sz w:val="22"/>
          <w:szCs w:val="22"/>
        </w:rPr>
        <w:t>Este es uno de los 5 sitios en Am</w:t>
      </w:r>
      <w:r>
        <w:rPr>
          <w:rFonts w:eastAsia="Calibri" w:cs="Arial" w:ascii="Liberation Sans" w:hAnsi="Liberation Sans" w:eastAsiaTheme="minorHAnsi"/>
          <w:color w:val="auto"/>
          <w:kern w:val="0"/>
          <w:sz w:val="22"/>
          <w:szCs w:val="22"/>
          <w:lang w:val="es-AR" w:eastAsia="en-US" w:bidi="ar-SA"/>
        </w:rPr>
        <w:t xml:space="preserve">érica Latina </w:t>
      </w:r>
      <w:r>
        <w:rPr>
          <w:rFonts w:eastAsia="Calibri" w:cs="Arial" w:ascii="Liberation Sans" w:hAnsi="Liberation Sans" w:eastAsiaTheme="minorHAnsi"/>
          <w:color w:val="auto"/>
          <w:kern w:val="0"/>
          <w:sz w:val="22"/>
          <w:szCs w:val="22"/>
          <w:lang w:val="es-AR" w:eastAsia="en-US" w:bidi="ar-SA"/>
        </w:rPr>
        <w:t xml:space="preserve">de la red LAVNet </w:t>
      </w:r>
      <w:r>
        <w:rPr>
          <w:rFonts w:eastAsia="Calibri" w:cs="Arial" w:ascii="Liberation Sans" w:hAnsi="Liberation Sans" w:eastAsiaTheme="minorHAnsi"/>
          <w:color w:val="auto"/>
          <w:kern w:val="0"/>
          <w:sz w:val="22"/>
          <w:szCs w:val="22"/>
          <w:lang w:val="es-AR" w:eastAsia="en-US" w:bidi="ar-SA"/>
        </w:rPr>
        <w:t xml:space="preserve">que realizan sondeo ionosférico en baja frecuencia para </w:t>
      </w:r>
      <w:r>
        <w:rPr>
          <w:rFonts w:eastAsia="Calibri" w:cs="Arial" w:ascii="Liberation Sans" w:hAnsi="Liberation Sans" w:eastAsiaTheme="minorHAnsi"/>
          <w:color w:val="auto"/>
          <w:kern w:val="0"/>
          <w:sz w:val="22"/>
          <w:szCs w:val="22"/>
          <w:lang w:val="es-AR" w:eastAsia="en-US" w:bidi="ar-SA"/>
        </w:rPr>
        <w:t xml:space="preserve">estudiar </w:t>
      </w:r>
      <w:r>
        <w:rPr>
          <w:rFonts w:eastAsia="Calibri" w:cs="Arial" w:ascii="Liberation Sans" w:hAnsi="Liberation Sans" w:eastAsiaTheme="minorHAnsi"/>
          <w:color w:val="auto"/>
          <w:kern w:val="0"/>
          <w:sz w:val="22"/>
          <w:szCs w:val="22"/>
          <w:lang w:val="es-AR" w:eastAsia="en-US" w:bidi="ar-SA"/>
        </w:rPr>
        <w:t xml:space="preserve">la dinámica de la  región D ante eventos perturbativos de origen terrestre </w:t>
      </w:r>
      <w:r>
        <w:rPr>
          <w:rFonts w:eastAsia="Calibri" w:cs="Arial" w:ascii="Liberation Sans" w:hAnsi="Liberation Sans" w:eastAsiaTheme="minorHAnsi"/>
          <w:color w:val="auto"/>
          <w:kern w:val="0"/>
          <w:sz w:val="22"/>
          <w:szCs w:val="22"/>
          <w:lang w:val="es-AR" w:eastAsia="en-US" w:bidi="ar-SA"/>
        </w:rPr>
        <w:t xml:space="preserve">y </w:t>
      </w:r>
      <w:r>
        <w:rPr>
          <w:rFonts w:eastAsia="Calibri" w:cs="Arial" w:ascii="Liberation Sans" w:hAnsi="Liberation Sans" w:eastAsiaTheme="minorHAnsi"/>
          <w:color w:val="auto"/>
          <w:kern w:val="0"/>
          <w:sz w:val="22"/>
          <w:szCs w:val="22"/>
          <w:lang w:val="es-AR" w:eastAsia="en-US" w:bidi="ar-SA"/>
        </w:rPr>
        <w:t>extraterrestre.</w:t>
      </w:r>
    </w:p>
    <w:p>
      <w:pPr>
        <w:pStyle w:val="Normal"/>
        <w:ind w:hanging="0"/>
        <w:jc w:val="both"/>
        <w:rPr/>
      </w:pPr>
      <w:r>
        <w:rPr>
          <w:rFonts w:eastAsia="Calibri" w:cs="Arial" w:ascii="Liberation Sans" w:hAnsi="Liberation Sans" w:eastAsiaTheme="minorHAnsi"/>
          <w:color w:val="000000"/>
          <w:kern w:val="0"/>
          <w:sz w:val="22"/>
          <w:szCs w:val="22"/>
          <w:lang w:val="es-AR" w:eastAsia="en-US" w:bidi="ar-SA"/>
        </w:rPr>
        <w:t xml:space="preserve">El personal a cargo de este sitio pertenece al Departamento de Física, el Departamento de Geofísica y Geodesia y al Laboratorio de Telecomunicaciones de la </w:t>
      </w:r>
      <w:r>
        <w:rPr>
          <w:rFonts w:eastAsia="Calibri" w:cs="Arial" w:ascii="Liberation Sans" w:hAnsi="Liberation Sans" w:eastAsiaTheme="minorHAnsi"/>
          <w:color w:val="000000"/>
          <w:kern w:val="0"/>
          <w:sz w:val="22"/>
          <w:szCs w:val="22"/>
          <w:lang w:val="es-AR" w:eastAsia="en-US" w:bidi="ar-SA"/>
        </w:rPr>
        <w:t xml:space="preserve"> Facultad de Ciencias Exactas y Tecnología de la Universidad Nacional de Tucumán (</w:t>
      </w:r>
      <w:r>
        <w:rPr>
          <w:rStyle w:val="Destaquemayor"/>
          <w:rFonts w:eastAsia="Calibri" w:cs="Arial" w:ascii="Liberation Sans" w:hAnsi="Liberation Sans" w:eastAsiaTheme="minorHAnsi"/>
          <w:b w:val="false"/>
          <w:i w:val="false"/>
          <w:caps w:val="false"/>
          <w:smallCaps w:val="false"/>
          <w:color w:val="000000"/>
          <w:spacing w:val="0"/>
          <w:kern w:val="0"/>
          <w:sz w:val="22"/>
          <w:szCs w:val="22"/>
          <w:lang w:val="es-AR" w:eastAsia="en-US" w:bidi="ar-SA"/>
        </w:rPr>
        <w:t>26°49′00″S 65°13′00″O</w:t>
      </w:r>
      <w:r>
        <w:rPr>
          <w:rFonts w:eastAsia="Calibri" w:cs="Arial" w:ascii="Liberation Sans" w:hAnsi="Liberation Sans" w:eastAsiaTheme="minorHAnsi"/>
          <w:color w:val="000000"/>
          <w:kern w:val="0"/>
          <w:sz w:val="22"/>
          <w:szCs w:val="22"/>
          <w:lang w:val="es-AR" w:eastAsia="en-US" w:bidi="ar-SA"/>
        </w:rPr>
        <w:t>).</w:t>
      </w:r>
    </w:p>
    <w:p>
      <w:pPr>
        <w:pStyle w:val="Normal"/>
        <w:ind w:hanging="0"/>
        <w:jc w:val="both"/>
        <w:rPr>
          <w:rFonts w:ascii="Liberation Sans" w:hAnsi="Liberation Sans" w:eastAsia="Calibri" w:cs="Arial" w:eastAsiaTheme="minorHAnsi"/>
          <w:color w:val="000000"/>
          <w:kern w:val="0"/>
          <w:sz w:val="22"/>
          <w:szCs w:val="22"/>
          <w:lang w:val="es-AR" w:eastAsia="en-US" w:bidi="ar-SA"/>
        </w:rPr>
      </w:pPr>
      <w:r>
        <w:rPr/>
      </w:r>
    </w:p>
    <w:p>
      <w:pPr>
        <w:pStyle w:val="Normal"/>
        <w:ind w:hanging="0"/>
        <w:jc w:val="both"/>
        <w:rPr/>
      </w:pPr>
      <w:r>
        <w:rPr>
          <w:rFonts w:eastAsia="Calibri" w:cs="Arial" w:ascii="Liberation Sans" w:hAnsi="Liberation Sans" w:eastAsiaTheme="minorHAnsi"/>
          <w:color w:val="000000"/>
          <w:kern w:val="0"/>
          <w:sz w:val="22"/>
          <w:szCs w:val="22"/>
          <w:lang w:val="es-AR" w:eastAsia="en-US" w:bidi="ar-SA"/>
        </w:rPr>
        <w:t>%%%%%%%%%%%%%%%%%%%%%%%%%%%%%%%%%%%%%%%%%%%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both"/>
        <w:rPr>
          <w:rFonts w:ascii="Liberation Sans" w:hAnsi="Liberation Sans"/>
          <w:sz w:val="22"/>
          <w:szCs w:val="22"/>
        </w:rPr>
      </w:pPr>
      <w:r>
        <w:rPr>
          <w:rFonts w:eastAsia="Calibri" w:cs="Arial" w:ascii="Liberation Sans" w:hAnsi="Liberation Sans" w:eastAsiaTheme="minorHAnsi"/>
          <w:color w:val="000000"/>
          <w:kern w:val="0"/>
          <w:sz w:val="22"/>
          <w:szCs w:val="22"/>
          <w:lang w:val="es-AR" w:eastAsia="en-US" w:bidi="ar-SA"/>
        </w:rPr>
        <w:t xml:space="preserve">El trabajo de ingeniería </w:t>
      </w:r>
      <w:r>
        <w:rPr>
          <w:rFonts w:eastAsia="Calibri" w:cs="Arial" w:ascii="Liberation Sans" w:hAnsi="Liberation Sans" w:eastAsiaTheme="minorHAnsi"/>
          <w:color w:val="000000"/>
          <w:kern w:val="0"/>
          <w:sz w:val="22"/>
          <w:szCs w:val="22"/>
          <w:lang w:val="es-AR" w:eastAsia="en-US" w:bidi="ar-SA"/>
        </w:rPr>
        <w:t xml:space="preserve">de esta estación receptora </w:t>
      </w:r>
      <w:r>
        <w:rPr>
          <w:rFonts w:eastAsia="Calibri" w:cs="Arial" w:ascii="Liberation Sans" w:hAnsi="Liberation Sans" w:eastAsiaTheme="minorHAnsi"/>
          <w:color w:val="000000"/>
          <w:kern w:val="0"/>
          <w:sz w:val="22"/>
          <w:szCs w:val="22"/>
          <w:lang w:val="es-AR" w:eastAsia="en-US" w:bidi="ar-SA"/>
        </w:rPr>
        <w:t>abarca el diseño y construcción integral de cada una de sus etapas, desde la recepción hasta la transmisión y almacenamiento de datos científicos.</w:t>
      </w:r>
    </w:p>
    <w:p>
      <w:pPr>
        <w:pStyle w:val="Normal"/>
        <w:ind w:hanging="0"/>
        <w:jc w:val="both"/>
        <w:rPr>
          <w:rFonts w:ascii="Liberation Sans" w:hAnsi="Liberation Sans"/>
          <w:sz w:val="22"/>
          <w:szCs w:val="22"/>
        </w:rPr>
      </w:pPr>
      <w:r>
        <w:rPr>
          <w:rFonts w:ascii="Liberation Sans" w:hAnsi="Liberation Sans"/>
          <w:sz w:val="22"/>
          <w:szCs w:val="22"/>
        </w:rPr>
        <w:t xml:space="preserve">Actualmente </w:t>
      </w:r>
      <w:r>
        <w:rPr>
          <w:rFonts w:eastAsia="Calibri" w:cs="" w:ascii="Liberation Sans" w:hAnsi="Liberation Sans" w:cstheme="minorBidi" w:eastAsiaTheme="minorHAnsi"/>
          <w:color w:val="auto"/>
          <w:kern w:val="0"/>
          <w:sz w:val="22"/>
          <w:szCs w:val="22"/>
          <w:lang w:val="es-AR" w:eastAsia="en-US" w:bidi="ar-SA"/>
        </w:rPr>
        <w:t>se encuentra en desarrollo y próxima a su instalación definitiva. A continuación se describen las etapas ya implementadas; en cuanto la estación sea operativa esta pagina mostrará los datos de amplitud y fase a tiempo real.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Etapas del sistema:</w:t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ES"/>
        </w:rPr>
      </w:pPr>
      <w:r>
        <w:rPr/>
        <w:drawing>
          <wp:inline distT="0" distB="0" distL="0" distR="0">
            <wp:extent cx="5400040" cy="141097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cs="Arial" w:ascii="Arial" w:hAnsi="Arial"/>
          <w:sz w:val="24"/>
          <w:szCs w:val="24"/>
          <w:lang w:val="es-ES"/>
        </w:rPr>
      </w:r>
    </w:p>
    <w:p>
      <w:pPr>
        <w:pStyle w:val="ListParagraph"/>
        <w:numPr>
          <w:ilvl w:val="0"/>
          <w:numId w:val="1"/>
        </w:numPr>
        <w:ind w:left="142" w:firstLine="491"/>
        <w:jc w:val="both"/>
        <w:rPr>
          <w:rFonts w:ascii="Liberation Sans" w:hAnsi="Liberation Sans"/>
          <w:sz w:val="22"/>
          <w:szCs w:val="22"/>
        </w:rPr>
      </w:pPr>
      <w:r>
        <w:rPr>
          <w:rFonts w:cs="Arial" w:ascii="Liberation Sans" w:hAnsi="Liberation Sans"/>
          <w:b/>
          <w:bCs/>
          <w:sz w:val="22"/>
          <w:szCs w:val="22"/>
        </w:rPr>
        <w:t>Antenas lazo:</w:t>
      </w:r>
      <w:r>
        <w:rPr>
          <w:rFonts w:cs="Arial" w:ascii="Liberation Sans" w:hAnsi="Liberation Sans"/>
          <w:sz w:val="22"/>
          <w:szCs w:val="22"/>
        </w:rPr>
        <w:t xml:space="preserve"> dos antenas ortogonales (norte–sur y este–oeste) </w:t>
      </w:r>
      <w:r>
        <w:rPr>
          <w:rFonts w:cs="Arial" w:ascii="Liberation Sans" w:hAnsi="Liberation Sans"/>
          <w:sz w:val="22"/>
          <w:szCs w:val="22"/>
        </w:rPr>
        <w:t xml:space="preserve">que </w:t>
      </w:r>
      <w:r>
        <w:rPr>
          <w:rFonts w:cs="Arial" w:ascii="Liberation Sans" w:hAnsi="Liberation Sans"/>
          <w:sz w:val="22"/>
          <w:szCs w:val="22"/>
        </w:rPr>
        <w:t xml:space="preserve">captan las señales </w:t>
      </w:r>
      <w:r>
        <w:rPr>
          <w:rFonts w:cs="Arial" w:ascii="Liberation Sans" w:hAnsi="Liberation Sans"/>
          <w:sz w:val="22"/>
          <w:szCs w:val="22"/>
        </w:rPr>
        <w:t>en muy baja frecuencia (</w:t>
      </w:r>
      <w:r>
        <w:rPr>
          <w:rFonts w:cs="Arial" w:ascii="Liberation Sans" w:hAnsi="Liberation Sans"/>
          <w:sz w:val="22"/>
          <w:szCs w:val="22"/>
        </w:rPr>
        <w:t>VLF</w:t>
      </w:r>
      <w:r>
        <w:rPr>
          <w:rFonts w:cs="Arial" w:ascii="Liberation Sans" w:hAnsi="Liberation Sans"/>
          <w:sz w:val="22"/>
          <w:szCs w:val="22"/>
        </w:rPr>
        <w:t xml:space="preserve">) que se </w:t>
      </w:r>
      <w:r>
        <w:rPr>
          <w:rFonts w:cs="Arial" w:ascii="Liberation Sans" w:hAnsi="Liberation Sans"/>
          <w:sz w:val="22"/>
          <w:szCs w:val="22"/>
        </w:rPr>
        <w:t xml:space="preserve"> propaga</w:t>
      </w:r>
      <w:r>
        <w:rPr>
          <w:rFonts w:cs="Arial" w:ascii="Liberation Sans" w:hAnsi="Liberation Sans"/>
          <w:sz w:val="22"/>
          <w:szCs w:val="22"/>
        </w:rPr>
        <w:t>n</w:t>
      </w:r>
      <w:r>
        <w:rPr>
          <w:rFonts w:cs="Arial" w:ascii="Liberation Sans" w:hAnsi="Liberation Sans"/>
          <w:sz w:val="22"/>
          <w:szCs w:val="22"/>
        </w:rPr>
        <w:t xml:space="preserve"> a través de la guía de onda Tierra-</w:t>
      </w:r>
      <w:r>
        <w:rPr>
          <w:rFonts w:cs="Arial" w:ascii="Liberation Sans" w:hAnsi="Liberation Sans"/>
          <w:sz w:val="22"/>
          <w:szCs w:val="22"/>
        </w:rPr>
        <w:t>I</w:t>
      </w:r>
      <w:r>
        <w:rPr>
          <w:rFonts w:cs="Arial" w:ascii="Liberation Sans" w:hAnsi="Liberation Sans"/>
          <w:sz w:val="22"/>
          <w:szCs w:val="22"/>
        </w:rPr>
        <w:t>onosfera. Su construcción robusta y balanceada garantiza una alta sensibilidad y baja captación de ruido eléctrico local.</w:t>
      </w:r>
    </w:p>
    <w:p>
      <w:pPr>
        <w:pStyle w:val="ListParagraph"/>
        <w:ind w:left="0" w:hanging="0"/>
        <w:jc w:val="center"/>
        <w:rPr>
          <w:rFonts w:ascii="Arial" w:hAnsi="Arial" w:cs="Arial"/>
          <w:sz w:val="24"/>
          <w:szCs w:val="24"/>
        </w:rPr>
      </w:pPr>
      <w:r>
        <w:rPr/>
        <w:drawing>
          <wp:inline distT="0" distB="0" distL="0" distR="0">
            <wp:extent cx="4278630" cy="3714115"/>
            <wp:effectExtent l="0" t="0" r="0" b="0"/>
            <wp:docPr id="2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3488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63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0" w:hanging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ind w:left="142" w:firstLine="491"/>
        <w:jc w:val="both"/>
        <w:rPr>
          <w:rFonts w:ascii="Liberation Sans" w:hAnsi="Liberation Sans"/>
          <w:sz w:val="22"/>
          <w:szCs w:val="22"/>
        </w:rPr>
      </w:pPr>
      <w:r>
        <w:rPr>
          <w:rFonts w:cs="Arial" w:ascii="Liberation Sans" w:hAnsi="Liberation Sans"/>
          <w:b/>
          <w:bCs/>
          <w:sz w:val="22"/>
          <w:szCs w:val="22"/>
        </w:rPr>
        <w:t>Acondicionadores de señal:</w:t>
      </w:r>
      <w:r>
        <w:rPr>
          <w:rFonts w:cs="Arial" w:ascii="Liberation Sans" w:hAnsi="Liberation Sans"/>
          <w:sz w:val="22"/>
          <w:szCs w:val="22"/>
        </w:rPr>
        <w:t xml:space="preserve"> amplifican y filtran las señales provenientes de las antenas, adecuando su nivel a los requerimientos de la etapa digital. Su diseño fue optimizado para preservar la fase y amplitud, y minimizar la distorsión, manteniendo un ancho de banda de 15 a 45 kHz.</w:t>
      </w:r>
    </w:p>
    <w:p>
      <w:pPr>
        <w:pStyle w:val="ListParagraph"/>
        <w:numPr>
          <w:ilvl w:val="0"/>
          <w:numId w:val="1"/>
        </w:numPr>
        <w:ind w:left="142" w:firstLine="491"/>
        <w:jc w:val="both"/>
        <w:rPr>
          <w:rFonts w:ascii="Liberation Sans" w:hAnsi="Liberation Sans"/>
          <w:sz w:val="22"/>
          <w:szCs w:val="22"/>
        </w:rPr>
      </w:pPr>
      <w:r>
        <w:rPr>
          <w:rFonts w:cs="Arial" w:ascii="Liberation Sans" w:hAnsi="Liberation Sans"/>
          <w:b/>
          <w:bCs/>
          <w:sz w:val="22"/>
          <w:szCs w:val="22"/>
        </w:rPr>
        <w:t>Adquisidor digital:</w:t>
      </w:r>
      <w:r>
        <w:rPr>
          <w:rFonts w:cs="Arial" w:ascii="Liberation Sans" w:hAnsi="Liberation Sans"/>
          <w:sz w:val="22"/>
          <w:szCs w:val="22"/>
        </w:rPr>
        <w:t xml:space="preserve"> basado en una </w:t>
      </w:r>
      <w:r>
        <w:rPr>
          <w:rFonts w:cs="Arial" w:ascii="Liberation Sans" w:hAnsi="Liberation Sans"/>
          <w:b/>
          <w:bCs/>
          <w:sz w:val="22"/>
          <w:szCs w:val="22"/>
        </w:rPr>
        <w:t>placa STM32 Bluepill</w:t>
      </w:r>
      <w:r>
        <w:rPr>
          <w:rFonts w:cs="Arial" w:ascii="Liberation Sans" w:hAnsi="Liberation Sans"/>
          <w:sz w:val="22"/>
          <w:szCs w:val="22"/>
        </w:rPr>
        <w:t xml:space="preserve">, realiza la conversión analógico-digital mediante el ADC interno, operando en modo continuo con transferencia </w:t>
      </w:r>
      <w:r>
        <w:rPr>
          <w:rFonts w:cs="Arial" w:ascii="Liberation Sans" w:hAnsi="Liberation Sans"/>
          <w:b/>
          <w:bCs/>
          <w:sz w:val="22"/>
          <w:szCs w:val="22"/>
        </w:rPr>
        <w:t>DMA</w:t>
      </w:r>
      <w:r>
        <w:rPr>
          <w:rFonts w:cs="Arial" w:ascii="Liberation Sans" w:hAnsi="Liberation Sans"/>
          <w:sz w:val="22"/>
          <w:szCs w:val="22"/>
        </w:rPr>
        <w:t>. Esta etapa permite una adquisición estable y sin pérdida de muestras, a una frecuencia de muestreo de aproximadamente 222 kSPS.</w:t>
      </w:r>
    </w:p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/>
        <w:drawing>
          <wp:inline distT="0" distB="0" distL="0" distR="0">
            <wp:extent cx="5400040" cy="2346960"/>
            <wp:effectExtent l="0" t="0" r="0" b="0"/>
            <wp:docPr id="3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ind w:left="142" w:firstLine="491"/>
        <w:jc w:val="both"/>
        <w:rPr>
          <w:rFonts w:ascii="Liberation Sans" w:hAnsi="Liberation Sans"/>
          <w:sz w:val="22"/>
          <w:szCs w:val="22"/>
        </w:rPr>
      </w:pPr>
      <w:r>
        <w:rPr>
          <w:rFonts w:cs="Arial" w:ascii="Liberation Sans" w:hAnsi="Liberation Sans"/>
          <w:b/>
          <w:bCs/>
          <w:sz w:val="22"/>
          <w:szCs w:val="22"/>
        </w:rPr>
        <w:t>Transmisor Ethernet:</w:t>
      </w:r>
      <w:r>
        <w:rPr>
          <w:rFonts w:cs="Arial" w:ascii="Liberation Sans" w:hAnsi="Liberation Sans"/>
          <w:sz w:val="22"/>
          <w:szCs w:val="22"/>
        </w:rPr>
        <w:t xml:space="preserve"> integrado con un módulo </w:t>
      </w:r>
      <w:r>
        <w:rPr>
          <w:rFonts w:cs="Arial" w:ascii="Liberation Sans" w:hAnsi="Liberation Sans"/>
          <w:b/>
          <w:bCs/>
          <w:sz w:val="22"/>
          <w:szCs w:val="22"/>
        </w:rPr>
        <w:t>W5500</w:t>
      </w:r>
      <w:r>
        <w:rPr>
          <w:rFonts w:cs="Arial" w:ascii="Liberation Sans" w:hAnsi="Liberation Sans"/>
          <w:sz w:val="22"/>
          <w:szCs w:val="22"/>
        </w:rPr>
        <w:t xml:space="preserve">, que maneja el protocolo </w:t>
      </w:r>
      <w:r>
        <w:rPr>
          <w:rFonts w:cs="Arial" w:ascii="Liberation Sans" w:hAnsi="Liberation Sans"/>
          <w:b/>
          <w:bCs/>
          <w:sz w:val="22"/>
          <w:szCs w:val="22"/>
        </w:rPr>
        <w:t>TCP/IP</w:t>
      </w:r>
      <w:r>
        <w:rPr>
          <w:rFonts w:cs="Arial" w:ascii="Liberation Sans" w:hAnsi="Liberation Sans"/>
          <w:sz w:val="22"/>
          <w:szCs w:val="22"/>
        </w:rPr>
        <w:t xml:space="preserve"> en hardware, enviando los datos en tiempo real hacia el servidor de procesamiento. Este diseño elimina la necesidad de un sistema operativo intermedio y asegura una transmisión confiable, incluso con recursos limitados.</w:t>
      </w:r>
    </w:p>
    <w:p>
      <w:pPr>
        <w:pStyle w:val="ListParagraph"/>
        <w:numPr>
          <w:ilvl w:val="0"/>
          <w:numId w:val="1"/>
        </w:numPr>
        <w:ind w:left="142" w:firstLine="491"/>
        <w:jc w:val="both"/>
        <w:rPr>
          <w:rFonts w:ascii="Liberation Sans" w:hAnsi="Liberation Sans"/>
          <w:sz w:val="22"/>
          <w:szCs w:val="22"/>
        </w:rPr>
      </w:pPr>
      <w:r>
        <w:rPr>
          <w:rFonts w:cs="Arial" w:ascii="Liberation Sans" w:hAnsi="Liberation Sans"/>
          <w:b/>
          <w:bCs/>
          <w:sz w:val="22"/>
          <w:szCs w:val="22"/>
        </w:rPr>
        <w:t>Servidor de recepción:</w:t>
      </w:r>
      <w:r>
        <w:rPr>
          <w:rFonts w:cs="Arial" w:ascii="Liberation Sans" w:hAnsi="Liberation Sans"/>
          <w:sz w:val="22"/>
          <w:szCs w:val="22"/>
        </w:rPr>
        <w:t xml:space="preserve"> recibe el flujo de datos, los almacena y permite su visualización y análisis en tiempo real mediante herramientas como </w:t>
      </w:r>
      <w:r>
        <w:rPr>
          <w:rFonts w:cs="Arial" w:ascii="Liberation Sans" w:hAnsi="Liberation Sans"/>
          <w:b/>
          <w:bCs/>
          <w:sz w:val="22"/>
          <w:szCs w:val="22"/>
        </w:rPr>
        <w:t>GNU Radio</w:t>
      </w:r>
      <w:r>
        <w:rPr>
          <w:rFonts w:cs="Arial" w:ascii="Liberation Sans" w:hAnsi="Liberation Sans"/>
          <w:sz w:val="22"/>
          <w:szCs w:val="22"/>
        </w:rPr>
        <w:t xml:space="preserve">, facilitando el estudio espectral de la </w:t>
      </w:r>
      <w:r>
        <w:rPr>
          <w:rFonts w:cs="Arial" w:ascii="Liberation Sans" w:hAnsi="Liberation Sans"/>
          <w:sz w:val="22"/>
          <w:szCs w:val="22"/>
        </w:rPr>
        <w:t>señal</w:t>
      </w:r>
      <w:r>
        <w:rPr>
          <w:rFonts w:cs="Arial" w:ascii="Liberation Sans" w:hAnsi="Liberation Sans"/>
          <w:sz w:val="22"/>
          <w:szCs w:val="22"/>
        </w:rPr>
        <w:t>.</w:t>
      </w:r>
    </w:p>
    <w:tbl>
      <w:tblPr>
        <w:tblW w:w="578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2614"/>
        <w:gridCol w:w="3167"/>
      </w:tblGrid>
      <w:tr>
        <w:trPr>
          <w:tblHeader w:val="true"/>
        </w:trPr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b/>
                <w:bCs/>
                <w:sz w:val="22"/>
                <w:szCs w:val="22"/>
                <w:lang w:eastAsia="es-AR"/>
              </w:rPr>
              <w:t>Parámetro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b/>
                <w:bCs/>
                <w:sz w:val="22"/>
                <w:szCs w:val="22"/>
                <w:lang w:eastAsia="es-AR"/>
              </w:rPr>
              <w:t>Valor</w:t>
            </w:r>
          </w:p>
        </w:tc>
      </w:tr>
      <w:tr>
        <w:trPr/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Frecuencia de muestreo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~222 kSPS</w:t>
            </w:r>
          </w:p>
        </w:tc>
      </w:tr>
      <w:tr>
        <w:trPr/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Resolución ADC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12 bits</w:t>
            </w:r>
          </w:p>
        </w:tc>
      </w:tr>
      <w:tr>
        <w:trPr/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Interfaz de red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Ethernet 10/100 Mbps (W5500)</w:t>
            </w:r>
          </w:p>
        </w:tc>
      </w:tr>
      <w:tr>
        <w:trPr/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Protocolo de transmisión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TCP/IP</w:t>
            </w:r>
          </w:p>
        </w:tc>
      </w:tr>
      <w:tr>
        <w:trPr/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Alimentación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 xml:space="preserve">24 V DC </w:t>
            </w:r>
          </w:p>
        </w:tc>
      </w:tr>
      <w:tr>
        <w:trPr/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Consumo típico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&lt; 150 mA</w:t>
            </w:r>
          </w:p>
        </w:tc>
      </w:tr>
      <w:tr>
        <w:trPr/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Temperatura de operación</w:t>
            </w:r>
          </w:p>
        </w:tc>
        <w:tc>
          <w:tcPr>
            <w:tcW w:w="3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Liberation Sans" w:hAnsi="Liberation Sans"/>
                <w:sz w:val="22"/>
                <w:szCs w:val="22"/>
              </w:rPr>
            </w:pPr>
            <w:r>
              <w:rPr>
                <w:rFonts w:eastAsia="Times New Roman" w:cs="Times New Roman" w:ascii="Liberation Sans" w:hAnsi="Liberation Sans"/>
                <w:sz w:val="22"/>
                <w:szCs w:val="22"/>
                <w:lang w:eastAsia="es-AR"/>
              </w:rPr>
              <w:t>0–50 °C</w:t>
            </w:r>
          </w:p>
        </w:tc>
      </w:tr>
    </w:tbl>
    <w:p>
      <w:pPr>
        <w:pStyle w:val="Normal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57"/>
        <w:jc w:val="both"/>
        <w:rPr>
          <w:rFonts w:ascii="Liberation Sans" w:hAnsi="Liberation Sans"/>
          <w:sz w:val="22"/>
          <w:szCs w:val="22"/>
        </w:rPr>
      </w:pPr>
      <w:r>
        <w:rPr>
          <w:rFonts w:cs="Arial" w:ascii="Liberation Sans" w:hAnsi="Liberation Sans"/>
          <w:b/>
          <w:bCs/>
          <w:sz w:val="22"/>
          <w:szCs w:val="22"/>
        </w:rPr>
        <w:t>Estado actual y proyección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both"/>
        <w:rPr>
          <w:rFonts w:ascii="Liberation Sans" w:hAnsi="Liberation Sans"/>
          <w:sz w:val="22"/>
          <w:szCs w:val="22"/>
        </w:rPr>
      </w:pPr>
      <w:r>
        <w:rPr>
          <w:rFonts w:cs="Arial" w:ascii="Liberation Sans" w:hAnsi="Liberation Sans"/>
          <w:sz w:val="22"/>
          <w:szCs w:val="22"/>
        </w:rPr>
        <w:t>L</w:t>
      </w:r>
      <w:r>
        <w:rPr>
          <w:rFonts w:cs="Arial" w:ascii="Liberation Sans" w:hAnsi="Liberation Sans"/>
          <w:sz w:val="22"/>
          <w:szCs w:val="22"/>
        </w:rPr>
        <w:t xml:space="preserve">as etapas de acondicionamiento y adquisición se encuentran en fase final de ensamblado </w:t>
      </w:r>
      <w:r>
        <w:rPr>
          <w:rFonts w:cs="Arial" w:ascii="Liberation Sans" w:hAnsi="Liberation Sans"/>
          <w:sz w:val="22"/>
          <w:szCs w:val="22"/>
        </w:rPr>
        <w:t xml:space="preserve">con </w:t>
      </w:r>
      <w:r>
        <w:rPr>
          <w:rFonts w:cs="Arial" w:ascii="Liberation Sans" w:hAnsi="Liberation Sans"/>
          <w:sz w:val="22"/>
          <w:szCs w:val="22"/>
        </w:rPr>
        <w:t xml:space="preserve"> pruebas funcionales. Su instalación definitiva está prevista </w:t>
      </w:r>
      <w:r>
        <w:rPr>
          <w:rFonts w:cs="Arial" w:ascii="Liberation Sans" w:hAnsi="Liberation Sans"/>
          <w:sz w:val="22"/>
          <w:szCs w:val="22"/>
        </w:rPr>
        <w:t xml:space="preserve">para </w:t>
      </w:r>
      <w:r>
        <w:rPr>
          <w:rFonts w:cs="Arial" w:ascii="Liberation Sans" w:hAnsi="Liberation Sans"/>
          <w:sz w:val="22"/>
          <w:szCs w:val="22"/>
        </w:rPr>
        <w:t>comienzos de 2026.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both"/>
        <w:rPr>
          <w:rFonts w:ascii="Liberation Sans" w:hAnsi="Liberation Sans"/>
          <w:sz w:val="22"/>
          <w:szCs w:val="22"/>
        </w:rPr>
      </w:pPr>
      <w:r>
        <w:rPr>
          <w:rFonts w:cs="Arial" w:ascii="Liberation Sans" w:hAnsi="Liberation Sans"/>
          <w:sz w:val="22"/>
          <w:szCs w:val="22"/>
        </w:rPr>
        <w:t>Imágenes del amplificador de antena, en su versión final: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both"/>
        <w:rPr/>
      </w:pPr>
      <w:r>
        <w:rPr>
          <w:rFonts w:cs="Arial" w:ascii="Arial" w:hAnsi="Arial"/>
          <w:sz w:val="24"/>
          <w:szCs w:val="24"/>
        </w:rP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-116205</wp:posOffset>
            </wp:positionH>
            <wp:positionV relativeFrom="paragraph">
              <wp:posOffset>123825</wp:posOffset>
            </wp:positionV>
            <wp:extent cx="3026410" cy="2178050"/>
            <wp:effectExtent l="0" t="0" r="0" b="0"/>
            <wp:wrapThrough wrapText="bothSides">
              <wp:wrapPolygon edited="0">
                <wp:start x="-7" y="0"/>
                <wp:lineTo x="-7" y="21489"/>
                <wp:lineTo x="21482" y="21489"/>
                <wp:lineTo x="21482" y="0"/>
                <wp:lineTo x="-7" y="0"/>
              </wp:wrapPolygon>
            </wp:wrapThrough>
            <wp:docPr id="4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25185" r="0" b="20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inline distT="0" distB="0" distL="0" distR="0">
            <wp:extent cx="3178175" cy="1986915"/>
            <wp:effectExtent l="0" t="0" r="0" b="0"/>
            <wp:docPr id="5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34181" r="0" b="18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567"/>
        <w:jc w:val="both"/>
        <w:rPr>
          <w:rFonts w:ascii="Arial" w:hAnsi="Arial" w:cs="Arial"/>
          <w:sz w:val="24"/>
          <w:szCs w:val="24"/>
        </w:rPr>
      </w:pPr>
      <w:r>
        <w:rPr/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ES"/>
        </w:rPr>
      </w:pPr>
      <w:bookmarkStart w:id="0" w:name="_GoBack"/>
      <w:bookmarkEnd w:id="0"/>
      <w:r>
        <w:rPr>
          <w:rFonts w:cs="Arial" w:ascii="Arial" w:hAnsi="Arial"/>
          <w:sz w:val="24"/>
          <w:szCs w:val="24"/>
          <w:lang w:val="es-ES"/>
        </w:rPr>
        <w:drawing>
          <wp:inline distT="0" distB="0" distL="0" distR="0">
            <wp:extent cx="3387725" cy="2806065"/>
            <wp:effectExtent l="0" t="0" r="0" b="0"/>
            <wp:docPr id="6" name="Imagen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23071" r="0" b="14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Arial" w:hAnsi="Arial" w:cs="Arial"/>
          <w:sz w:val="24"/>
          <w:szCs w:val="24"/>
          <w:lang w:val="es-ES"/>
        </w:rPr>
      </w:pPr>
      <w:r>
        <w:rPr/>
      </w:r>
    </w:p>
    <w:p>
      <w:pPr>
        <w:pStyle w:val="Normal"/>
        <w:spacing w:before="0" w:after="160"/>
        <w:ind w:firstLine="567"/>
        <w:jc w:val="both"/>
        <w:rPr>
          <w:rFonts w:ascii="Arial" w:hAnsi="Arial" w:cs="Arial"/>
          <w:sz w:val="24"/>
          <w:szCs w:val="24"/>
        </w:rPr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A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A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AR" w:eastAsia="en-US" w:bidi="ar-SA"/>
    </w:rPr>
  </w:style>
  <w:style w:type="paragraph" w:styleId="Ttulo1">
    <w:name w:val="Heading 1"/>
    <w:basedOn w:val="Normal"/>
    <w:next w:val="Normal"/>
    <w:link w:val="Ttulo1Car"/>
    <w:uiPriority w:val="9"/>
    <w:qFormat/>
    <w:rsid w:val="00a37ab7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43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a37ab7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0a643e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4"/>
      <w:szCs w:val="24"/>
    </w:rPr>
  </w:style>
  <w:style w:type="character" w:styleId="Destaquemayor">
    <w:name w:val="Destaque mayor"/>
    <w:qFormat/>
    <w:rPr>
      <w:b/>
      <w:bCs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2c4453"/>
    <w:pPr>
      <w:spacing w:before="0" w:after="160"/>
      <w:ind w:left="720" w:hanging="0"/>
      <w:contextualSpacing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LibreOffice/7.3.7.2$Linux_X86_64 LibreOffice_project/30$Build-2</Application>
  <AppVersion>15.0000</AppVersion>
  <Pages>4</Pages>
  <Words>463</Words>
  <Characters>2560</Characters>
  <CharactersWithSpaces>2988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2025-10-23T00:33:00Z</dcterms:created>
  <dc:creator>Ruben Corcoba</dc:creator>
  <dc:description/>
  <dc:language>es-ES</dc:language>
  <cp:lastModifiedBy/>
  <dcterms:modified xsi:type="dcterms:W3CDTF">2025-10-26T13:04:41Z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