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城市交通事件公告数据治理规范</w:t>
      </w:r>
    </w:p>
    <w:p>
      <w:r>
        <w:rPr>
          <w:rFonts w:ascii="Microsoft YaHei" w:hAnsi="Microsoft YaHei" w:eastAsia="Microsoft YaHei"/>
          <w:b w:val="0"/>
          <w:sz w:val="22"/>
        </w:rPr>
        <w:t>本规范用于统一道路施工、突发事件和临时交通管制公告的采集、审核、发布、更新与归档流程，确保知识库中的时间、位置和影响范围可追溯。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一 数据字段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每条公告必须包含事件编号、公告标题、道路名称、行政区、起止坐标、影响方向、开始时间、预计结束时间、事件类型、影响等级、绕行建议、来源单位、发布时间和更新时间。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坐标统一采用 GCJ-02，经纬度保留六位小数；道路名称应关联标准路网 ID，行政区使用国家统计区划代码。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二 发布与审核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采集任务首先校验必填字段、时间逻辑和空间范围，再由审核人员确认来源可靠性。审核通过后生成版本号并发布到检索索引。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对缺失结束时间、坐标落在城市边界外、开始时间晚于结束时间等异常记录，应进入人工复核队列，不得直接发布。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三 增量更新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系统以事件编号作为业务主键，以内容哈希和更新时间识别增量。字段未变化时跳过向量化；正文、时间或空间范围变化时删除旧分块并写入新版本。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公告撤销后保留历史版本和撤销原因，同时从在线检索集合中移除有效分块。每次更新记录操作人、更新时间、变更字段和前后版本号。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四 质量指标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每日输出元数据完整率、坐标有效率、时间逻辑通过率、重复公告率、更新及时率和人工复核率。重复公告通过事件编号、标题相似度与空间时间重叠联合识别。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当元数据完整率低于 98% 或坐标有效率低于 99% 时触发质量告警，并暂停问题来源的自动入库。</w:t>
      </w:r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城市交通事件公告数据治理规范</dc:title>
  <dc:subject/>
  <dc:creator>Aris Xu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