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The metabolic cost of the febrile host across the priority Candida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666666"/>
          <w:sz w:val="24"/>
          <w:szCs w:val="24"/>
        </w:rPr>
        <w:t xml:space="preserve">Results</w:t>
      </w:r>
    </w:p>
    <w:p>
      <w:pPr>
        <w:spacing w:after="2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Dissolved-oxygen respirometry was used to fit thermal performance curves for four </w:t>
      </w:r>
      <w:r>
        <w:rPr>
          <w:rFonts w:ascii="Calibri" w:cs="Calibri" w:eastAsia="Calibri" w:hAnsi="Calibri"/>
          <w:sz w:val="22"/>
          <w:szCs w:val="22"/>
        </w:rPr>
        <w:t xml:space="preserve">Candida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auris </w:t>
      </w:r>
      <w:r>
        <w:rPr>
          <w:rFonts w:ascii="Calibri" w:cs="Calibri" w:eastAsia="Calibri" w:hAnsi="Calibri"/>
          <w:sz w:val="22"/>
          <w:szCs w:val="22"/>
        </w:rPr>
        <w:t xml:space="preserve">clades (I-IV; three isolates each) and </w:t>
      </w:r>
      <w:r>
        <w:rPr>
          <w:rFonts w:ascii="Calibri" w:cs="Calibri" w:eastAsia="Calibri" w:hAnsi="Calibri"/>
          <w:sz w:val="22"/>
          <w:szCs w:val="22"/>
        </w:rPr>
        <w:t xml:space="preserve">C.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parapsilosis </w:t>
      </w:r>
      <w:r>
        <w:rPr>
          <w:rFonts w:ascii="Calibri" w:cs="Calibri" w:eastAsia="Calibri" w:hAnsi="Calibri"/>
          <w:sz w:val="22"/>
          <w:szCs w:val="22"/>
        </w:rPr>
        <w:t xml:space="preserve">(three isolates), across 22-44 °C (12 temperatures). Growth was modelled with a Sharpe-Schoolfield function and per-cell respiration with a Boltzmann-Arrhenius function, both fitted hierarchically (isolates nested within clades) in a Bayesian framework. Unless stated, values are posterior medians with 95% credible intervals (CrI).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Methods (summary)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concentration was recorded continuously with PreSens SensorDish readers across the temperature series (22-44 °C, 12 temperatures; one plate per group × temperature, three isolates × five replicate wells). Specific growth rate and per-cell respiration rate were recovered simultaneously from each O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time series using the mechanistic oxygen-dynamics model of Cakin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et al. </w:t>
      </w:r>
      <w:r>
        <w:rPr>
          <w:rFonts w:ascii="Calibri" w:cs="Calibri" w:eastAsia="Calibri" w:hAnsi="Calibri"/>
          <w:sz w:val="22"/>
          <w:szCs w:val="22"/>
        </w:rPr>
        <w:t xml:space="preserve">(2026), which couples exponential population growth with biomass-proportional oxygen consumption, O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(t) = O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2,0</w:t>
      </w:r>
      <w:r>
        <w:rPr>
          <w:rFonts w:ascii="Calibri" w:cs="Calibri" w:eastAsia="Calibri" w:hAnsi="Calibri"/>
          <w:sz w:val="22"/>
          <w:szCs w:val="22"/>
        </w:rPr>
        <w:t xml:space="preserve"> + (K/r)(1 − e</w:t>
      </w:r>
      <w:r>
        <w:rPr>
          <w:rFonts w:ascii="Calibri" w:cs="Calibri" w:eastAsia="Calibri" w:hAnsi="Calibri"/>
          <w:sz w:val="22"/>
          <w:szCs w:val="22"/>
          <w:vertAlign w:val="superscript"/>
        </w:rPr>
        <w:t xml:space="preserve">rt</w:t>
      </w:r>
      <w:r>
        <w:rPr>
          <w:rFonts w:ascii="Calibri" w:cs="Calibri" w:eastAsia="Calibri" w:hAnsi="Calibri"/>
          <w:sz w:val="22"/>
          <w:szCs w:val="22"/>
        </w:rPr>
        <w:t xml:space="preserve">), where r is the specific growth rate and K the volumetric O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consumption rate at the window start. Per-cell respiration, carbon-use efficiency and derived quantities were computed as in that study.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Units. </w:t>
      </w:r>
      <w:r>
        <w:rPr>
          <w:rFonts w:ascii="Calibri" w:cs="Calibri" w:eastAsia="Calibri" w:hAnsi="Calibri"/>
          <w:sz w:val="22"/>
          <w:szCs w:val="22"/>
        </w:rPr>
        <w:t xml:space="preserve">The oxygen-dynamics model recovers the specific growth rate r (h</w:t>
      </w:r>
      <w:r>
        <w:rPr>
          <w:rFonts w:ascii="Calibri" w:cs="Calibri" w:eastAsia="Calibri" w:hAnsi="Calibri"/>
          <w:sz w:val="22"/>
          <w:szCs w:val="22"/>
          <w:vertAlign w:val="superscript"/>
        </w:rPr>
        <w:t xml:space="preserve">−1</w:t>
      </w:r>
      <w:r>
        <w:rPr>
          <w:rFonts w:ascii="Calibri" w:cs="Calibri" w:eastAsia="Calibri" w:hAnsi="Calibri"/>
          <w:sz w:val="22"/>
          <w:szCs w:val="22"/>
        </w:rPr>
        <w:t xml:space="preserve">) from the exponential term. A per-cell carbon assimilation flux was then formed as G = r q, where q is the per-cell carbon quota (a temperature-independent constant per taxon); the per-cell respiratory carbon flux R was obtained from the volumetric O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consumption rate divided by the biomass integral, converted to carbon. G and R are therefore both per-cell carbon fluxes (fg C cell</w:t>
      </w:r>
      <w:r>
        <w:rPr>
          <w:rFonts w:ascii="Calibri" w:cs="Calibri" w:eastAsia="Calibri" w:hAnsi="Calibri"/>
          <w:sz w:val="22"/>
          <w:szCs w:val="22"/>
          <w:vertAlign w:val="superscript"/>
        </w:rPr>
        <w:t xml:space="preserve">−1</w:t>
      </w:r>
      <w:r>
        <w:rPr>
          <w:rFonts w:ascii="Calibri" w:cs="Calibri" w:eastAsia="Calibri" w:hAnsi="Calibri"/>
          <w:sz w:val="22"/>
          <w:szCs w:val="22"/>
        </w:rPr>
        <w:t xml:space="preserve"> h</w:t>
      </w:r>
      <w:r>
        <w:rPr>
          <w:rFonts w:ascii="Calibri" w:cs="Calibri" w:eastAsia="Calibri" w:hAnsi="Calibri"/>
          <w:sz w:val="22"/>
          <w:szCs w:val="22"/>
          <w:vertAlign w:val="superscript"/>
        </w:rPr>
        <w:t xml:space="preserve">−1</w:t>
      </w:r>
      <w:r>
        <w:rPr>
          <w:rFonts w:ascii="Calibri" w:cs="Calibri" w:eastAsia="Calibri" w:hAnsi="Calibri"/>
          <w:sz w:val="22"/>
          <w:szCs w:val="22"/>
        </w:rPr>
        <w:t xml:space="preserve">), and carbon-use efficiency CUE = G/(G + R) is the dimensionless ratio of these two matched quantities. Because q is independent of temperature, the growth activation energy E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G</w:t>
      </w:r>
      <w:r>
        <w:rPr>
          <w:rFonts w:ascii="Calibri" w:cs="Calibri" w:eastAsia="Calibri" w:hAnsi="Calibri"/>
          <w:sz w:val="22"/>
          <w:szCs w:val="22"/>
        </w:rPr>
        <w:t xml:space="preserve"> equals the activation energy of r (q shifts the intercept, not the Boltzmann slope) and is directly comparable to the respiration activation energy E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R</w:t>
      </w:r>
      <w:r>
        <w:rPr>
          <w:rFonts w:ascii="Calibri" w:cs="Calibri" w:eastAsia="Calibri" w:hAnsi="Calibri"/>
          <w:sz w:val="22"/>
          <w:szCs w:val="22"/>
        </w:rPr>
        <w:t xml:space="preserve">. Growth thermal performance curves (Fig. 1a) and E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G</w:t>
      </w:r>
      <w:r>
        <w:rPr>
          <w:rFonts w:ascii="Calibri" w:cs="Calibri" w:eastAsia="Calibri" w:hAnsi="Calibri"/>
          <w:sz w:val="22"/>
          <w:szCs w:val="22"/>
        </w:rPr>
        <w:t xml:space="preserve"> thus derive from a rate constant; the r-to-carbon conversion enters only where CUE and downstream ratios are formed.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Growth and respiration decouple, placing the carbon-economy optimum below body temperature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Growth rate rose with temperature to a clade-level optimum near 33-36 °C and then declined, following the expected unimodal thermal performance curve (Fig. 1a). Per-cell respiration showed no such turnover: it increased monotonically across the entire measured range, and leave-one-out cross-validation favoured the monotonic Arrhenius model over a unimodal Sharpe-Schoolfield alternative (Fig. 1b). Growth and respiration are therefore governed by different thermal sensitivities.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This difference is quantified by the activation energies (Fig. 1c). In every taxon, the activation energy of growth exceeded that of respiration: E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G</w:t>
      </w:r>
      <w:r>
        <w:rPr>
          <w:rFonts w:ascii="Calibri" w:cs="Calibri" w:eastAsia="Calibri" w:hAnsi="Calibri"/>
          <w:sz w:val="22"/>
          <w:szCs w:val="22"/>
        </w:rPr>
        <w:t xml:space="preserve"> ranged 0.81-1.14 eV and E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R</w:t>
      </w:r>
      <w:r>
        <w:rPr>
          <w:rFonts w:ascii="Calibri" w:cs="Calibri" w:eastAsia="Calibri" w:hAnsi="Calibri"/>
          <w:sz w:val="22"/>
          <w:szCs w:val="22"/>
        </w:rPr>
        <w:t xml:space="preserve"> 0.30-0.52 eV, with the growth-respiration difference credibly greater than zero in all five taxa (0.39-0.73 eV; 95% CrI excluding zero throughout). Growth is thus roughly twice as temperature-sensitive as respiration.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Because respiration continues to rise while growth saturates and falls, carbon-use efficiency (CUE = G/(G+R)) is itself a unimodal function of temperature that peaks early and then collapses (Fig. 1d). The temperature of this economic optimum, T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opt</w:t>
      </w:r>
      <w:r>
        <w:rPr>
          <w:rFonts w:ascii="Calibri" w:cs="Calibri" w:eastAsia="Calibri" w:hAnsi="Calibri"/>
          <w:sz w:val="22"/>
          <w:szCs w:val="22"/>
        </w:rPr>
        <w:t xml:space="preserve">(CUE) lay below human body temperature in every taxon: 31.3-34.1 °C, with posterior probability P(T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opt</w:t>
      </w:r>
      <w:r>
        <w:rPr>
          <w:rFonts w:ascii="Calibri" w:cs="Calibri" w:eastAsia="Calibri" w:hAnsi="Calibri"/>
          <w:sz w:val="22"/>
          <w:szCs w:val="22"/>
        </w:rPr>
        <w:t xml:space="preserve">(CUE) &lt; 37 °C) ≥ 0.999 for all five (Fig. 1e). The economic optimum sat 1.0-2.6 °C below the growth optimum and 2.9-5.7 °C below 37 °C. The mammalian host temperature therefore lies beyond the point at which warming still improves the carbon economy of any species tested.</w:t>
      </w:r>
    </w:p>
    <w:p>
      <w:pPr>
        <w:spacing w:after="60" w:before="120"/>
        <w:jc w:val="center"/>
      </w:pPr>
      <w:r>
        <w:drawing>
          <wp:inline distT="0" distB="0" distL="0" distR="0">
            <wp:extent cx="5848350" cy="687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687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4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Figure 1. Growth and respiration decouple with temperature, placing every carbon-economy optimum below body temperature. </w:t>
      </w:r>
      <w:r>
        <w:rPr>
          <w:rFonts w:ascii="Calibri" w:cs="Calibri" w:eastAsia="Calibri" w:hAnsi="Calibri"/>
          <w:sz w:val="20"/>
          <w:szCs w:val="20"/>
        </w:rPr>
        <w:t xml:space="preserve">(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</w:t>
      </w:r>
      <w:r>
        <w:rPr>
          <w:rFonts w:ascii="Calibri" w:cs="Calibri" w:eastAsia="Calibri" w:hAnsi="Calibri"/>
          <w:sz w:val="20"/>
          <w:szCs w:val="20"/>
        </w:rPr>
        <w:t xml:space="preserve">) Specific growth rate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r</w:t>
      </w:r>
      <w:r>
        <w:rPr>
          <w:rFonts w:ascii="Calibri" w:cs="Calibri" w:eastAsia="Calibri" w:hAnsi="Calibri"/>
          <w:sz w:val="20"/>
          <w:szCs w:val="20"/>
        </w:rPr>
        <w:t xml:space="preserve"> (h⁻¹) and (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</w:t>
      </w:r>
      <w:r>
        <w:rPr>
          <w:rFonts w:ascii="Calibri" w:cs="Calibri" w:eastAsia="Calibri" w:hAnsi="Calibri"/>
          <w:sz w:val="20"/>
          <w:szCs w:val="20"/>
        </w:rPr>
        <w:t xml:space="preserve">) per-cell respiration carbon flux (fg C cell⁻¹ h⁻¹) versus temperature (points, isolate-level observations; lines, clade-level posterior medians; bands, 95% CrI). Growth turns over; respiration does not (Arrhenius favoured over Sharpe-Schoolfield by leave-one-out cross-validation). (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</w:t>
      </w:r>
      <w:r>
        <w:rPr>
          <w:rFonts w:ascii="Calibri" w:cs="Calibri" w:eastAsia="Calibri" w:hAnsi="Calibri"/>
          <w:sz w:val="20"/>
          <w:szCs w:val="20"/>
        </w:rPr>
        <w:t xml:space="preserve">) Activation energies of growth (circles) and respiration (triangles); dashed line, the 0.65 eV metabolic-theory value. Growth is credibly more temperature-sensitive than respiration in all five taxa. (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</w:t>
      </w:r>
      <w:r>
        <w:rPr>
          <w:rFonts w:ascii="Calibri" w:cs="Calibri" w:eastAsia="Calibri" w:hAnsi="Calibri"/>
          <w:sz w:val="20"/>
          <w:szCs w:val="20"/>
        </w:rPr>
        <w:t xml:space="preserve">) Carbon-use efficiency, CUE = G/(G+R), collapses with warming and peaks early; filled points mark each curve’s peak. (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</w:t>
      </w:r>
      <w:r>
        <w:rPr>
          <w:rFonts w:ascii="Calibri" w:cs="Calibri" w:eastAsia="Calibri" w:hAnsi="Calibri"/>
          <w:sz w:val="20"/>
          <w:szCs w:val="20"/>
        </w:rPr>
        <w:t xml:space="preserve">) Thermal optimum of CUE (filled points, 95% CrI; open points, growth optimum; small points, isolates), with the posterior probability that it lies below 37 °C. Shaded band, 37 to 40 °C (body to fever).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A febrile host imposes a quantifiable, taxon-specific carbon tax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Because the economic optimum lies below 37 °C, every taxon operates at a carbon penalty in the host. We express this as the relative respiratory cost, i.e. respiration per unit growth relative to each taxon’s own cheapest temperature (Fig. 2a). At 40 °C (fever), this cost reached 1.34× for </w:t>
      </w:r>
      <w:r>
        <w:rPr>
          <w:rFonts w:ascii="Calibri" w:cs="Calibri" w:eastAsia="Calibri" w:hAnsi="Calibri"/>
          <w:sz w:val="22"/>
          <w:szCs w:val="22"/>
        </w:rPr>
        <w:t xml:space="preserve">C.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auris </w:t>
      </w:r>
      <w:r>
        <w:rPr>
          <w:rFonts w:ascii="Calibri" w:cs="Calibri" w:eastAsia="Calibri" w:hAnsi="Calibri"/>
          <w:sz w:val="22"/>
          <w:szCs w:val="22"/>
        </w:rPr>
        <w:t xml:space="preserve">Clade IV but 3.22× for </w:t>
      </w:r>
      <w:r>
        <w:rPr>
          <w:rFonts w:ascii="Calibri" w:cs="Calibri" w:eastAsia="Calibri" w:hAnsi="Calibri"/>
          <w:sz w:val="22"/>
          <w:szCs w:val="22"/>
        </w:rPr>
        <w:t xml:space="preserve">C.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parapsilosis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three-degree step from body temperature (37 °C) to fever (40 °C) captures the clinical penalty most directly (Fig. 2c). Over this interval </w:t>
      </w:r>
      <w:r>
        <w:rPr>
          <w:rFonts w:ascii="Calibri" w:cs="Calibri" w:eastAsia="Calibri" w:hAnsi="Calibri"/>
          <w:sz w:val="22"/>
          <w:szCs w:val="22"/>
        </w:rPr>
        <w:t xml:space="preserve">C.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parapsilosis </w:t>
      </w:r>
      <w:r>
        <w:rPr>
          <w:rFonts w:ascii="Calibri" w:cs="Calibri" w:eastAsia="Calibri" w:hAnsi="Calibri"/>
          <w:sz w:val="22"/>
          <w:szCs w:val="22"/>
        </w:rPr>
        <w:t xml:space="preserve">retained only 57% of its 37 °C growth rate (0.57, 95% CrI 0.49-0.65) while its respiratory cost per unit growth rose 2.00× (1.76-2.32). The </w:t>
      </w:r>
      <w:r>
        <w:rPr>
          <w:rFonts w:ascii="Calibri" w:cs="Calibri" w:eastAsia="Calibri" w:hAnsi="Calibri"/>
          <w:sz w:val="22"/>
          <w:szCs w:val="22"/>
        </w:rPr>
        <w:t xml:space="preserve">C.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auris </w:t>
      </w:r>
      <w:r>
        <w:rPr>
          <w:rFonts w:ascii="Calibri" w:cs="Calibri" w:eastAsia="Calibri" w:hAnsi="Calibri"/>
          <w:sz w:val="22"/>
          <w:szCs w:val="22"/>
        </w:rPr>
        <w:t xml:space="preserve">clades were far less affected: Clade IV retained 89% of growth (0.89, 0.86-0.93) at a cost increase of only 1.25× (1.19-1.31), with Clades I-III intermediate (growth retained 0.67-0.84; cost 1.37×-1.72×). Fever thus suppresses growth without suppressing respiration, and it does so most severely in </w:t>
      </w:r>
      <w:r>
        <w:rPr>
          <w:rFonts w:ascii="Calibri" w:cs="Calibri" w:eastAsia="Calibri" w:hAnsi="Calibri"/>
          <w:sz w:val="22"/>
          <w:szCs w:val="22"/>
        </w:rPr>
        <w:t xml:space="preserve">C.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parapsilosis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warmer environmental optimum predicts a lower cost of fever. </w:t>
      </w:r>
      <w:r>
        <w:rPr>
          <w:rFonts w:ascii="Calibri" w:cs="Calibri" w:eastAsia="Calibri" w:hAnsi="Calibri"/>
          <w:sz w:val="22"/>
          <w:szCs w:val="22"/>
        </w:rPr>
        <w:t xml:space="preserve">Across the five taxa, the environmental growth optimum was strongly and negatively associated with the metabolic cost of fever: the more thermotolerant a taxon, the less a fever cost it (Fig. 2b). Computed as a posterior distribution over Spearman’s ρ (propagating parameter uncertainty rather than treating the five taxon medians as fixed), the correlation was ρ = −0.90 (95% CrI −1.00 to −0.30; P(ρ &lt; 0) = 0.996). </w:t>
      </w:r>
      <w:r>
        <w:rPr>
          <w:rFonts w:ascii="Calibri" w:cs="Calibri" w:eastAsia="Calibri" w:hAnsi="Calibri"/>
          <w:sz w:val="22"/>
          <w:szCs w:val="22"/>
        </w:rPr>
        <w:t xml:space="preserve">C.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parapsilosis </w:t>
      </w:r>
      <w:r>
        <w:rPr>
          <w:rFonts w:ascii="Calibri" w:cs="Calibri" w:eastAsia="Calibri" w:hAnsi="Calibri"/>
          <w:sz w:val="22"/>
          <w:szCs w:val="22"/>
        </w:rPr>
        <w:t xml:space="preserve">occupied the cool-optimum, expensive-fever extreme and </w:t>
      </w:r>
      <w:r>
        <w:rPr>
          <w:rFonts w:ascii="Calibri" w:cs="Calibri" w:eastAsia="Calibri" w:hAnsi="Calibri"/>
          <w:sz w:val="22"/>
          <w:szCs w:val="22"/>
        </w:rPr>
        <w:t xml:space="preserve">C.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auris </w:t>
      </w:r>
      <w:r>
        <w:rPr>
          <w:rFonts w:ascii="Calibri" w:cs="Calibri" w:eastAsia="Calibri" w:hAnsi="Calibri"/>
          <w:sz w:val="22"/>
          <w:szCs w:val="22"/>
        </w:rPr>
        <w:t xml:space="preserve">Clade IV the warm-optimum, cheap-fever extreme. This links adaptation to a warm environment with tolerance of the febrile host as facets of a single thermal trait, consistent with the hypothesis that environmental thermal selection underlies fungal thermotolerance to the mammalian host. We note that T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opt</w:t>
      </w:r>
      <w:r>
        <w:rPr>
          <w:rFonts w:ascii="Calibri" w:cs="Calibri" w:eastAsia="Calibri" w:hAnsi="Calibri"/>
          <w:sz w:val="22"/>
          <w:szCs w:val="22"/>
        </w:rPr>
        <w:t xml:space="preserve"> and fever cost are partly geometrically coupled through the growth curve; however, respiration (E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R</w:t>
      </w:r>
      <w:r>
        <w:rPr>
          <w:rFonts w:ascii="Calibri" w:cs="Calibri" w:eastAsia="Calibri" w:hAnsi="Calibri"/>
          <w:sz w:val="22"/>
          <w:szCs w:val="22"/>
        </w:rPr>
        <w:t xml:space="preserve">) is an independent parameter that could have broken the relationship and did not. The correlation rests on only five taxa; it is therefore reported as suggestive and will be tested directly with additional species.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Clade-level differences within </w:t>
      </w:r>
      <w:r>
        <w:rPr>
          <w:rFonts w:ascii="Calibri" w:cs="Calibri" w:eastAsia="Calibri" w:hAnsi="Calibri"/>
          <w:sz w:val="22"/>
          <w:szCs w:val="22"/>
        </w:rPr>
        <w:t xml:space="preserve">C.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auris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. </w:t>
      </w:r>
      <w:r>
        <w:rPr>
          <w:rFonts w:ascii="Calibri" w:cs="Calibri" w:eastAsia="Calibri" w:hAnsi="Calibri"/>
          <w:sz w:val="22"/>
          <w:szCs w:val="22"/>
        </w:rPr>
        <w:t xml:space="preserve">Pairwise comparison of the fever cost resolved 8 of 10 taxon contrasts (95% CrI excluding a ratio of 1; Fig. 2d). All four </w:t>
      </w:r>
      <w:r>
        <w:rPr>
          <w:rFonts w:ascii="Calibri" w:cs="Calibri" w:eastAsia="Calibri" w:hAnsi="Calibri"/>
          <w:sz w:val="22"/>
          <w:szCs w:val="22"/>
        </w:rPr>
        <w:t xml:space="preserve">C.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auris </w:t>
      </w:r>
      <w:r>
        <w:rPr>
          <w:rFonts w:ascii="Calibri" w:cs="Calibri" w:eastAsia="Calibri" w:hAnsi="Calibri"/>
          <w:sz w:val="22"/>
          <w:szCs w:val="22"/>
        </w:rPr>
        <w:t xml:space="preserve">clades credibly paid less at fever than </w:t>
      </w:r>
      <w:r>
        <w:rPr>
          <w:rFonts w:ascii="Calibri" w:cs="Calibri" w:eastAsia="Calibri" w:hAnsi="Calibri"/>
          <w:sz w:val="22"/>
          <w:szCs w:val="22"/>
        </w:rPr>
        <w:t xml:space="preserve">C.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parapsilosis </w:t>
      </w:r>
      <w:r>
        <w:rPr>
          <w:rFonts w:ascii="Calibri" w:cs="Calibri" w:eastAsia="Calibri" w:hAnsi="Calibri"/>
          <w:sz w:val="22"/>
          <w:szCs w:val="22"/>
        </w:rPr>
        <w:t xml:space="preserve">(cost ratios 0.42-0.70), and Clade IV was credibly the cheapest of all clades. Only two contrasts, Clade I versus Clade II (0.85, 0.68-1.05) and Clade I versus Clade III (1.18, 0.99-1.41), could not be separated at three isolates per clade.</w:t>
      </w:r>
    </w:p>
    <w:p>
      <w:pPr>
        <w:spacing w:after="60" w:before="120"/>
        <w:jc w:val="center"/>
      </w:pPr>
      <w:r>
        <w:drawing>
          <wp:inline distT="0" distB="0" distL="0" distR="0">
            <wp:extent cx="5848350" cy="671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671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4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Figure 2. The metabolic cost of a fever, and its relationship to environmental thermotolerance. </w:t>
      </w:r>
      <w:r>
        <w:rPr>
          <w:rFonts w:ascii="Calibri" w:cs="Calibri" w:eastAsia="Calibri" w:hAnsi="Calibri"/>
          <w:sz w:val="20"/>
          <w:szCs w:val="20"/>
        </w:rPr>
        <w:t xml:space="preserve">(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</w:t>
      </w:r>
      <w:r>
        <w:rPr>
          <w:rFonts w:ascii="Calibri" w:cs="Calibri" w:eastAsia="Calibri" w:hAnsi="Calibri"/>
          <w:sz w:val="20"/>
          <w:szCs w:val="20"/>
        </w:rPr>
        <w:t xml:space="preserve">) Relative respiratory cost (respiration per unit growth, relative to each taxon’s own cheapest temperature) versus temperature; filled points mark each minimum, which coincides with T</w:t>
      </w:r>
      <w:r>
        <w:rPr>
          <w:rFonts w:ascii="Calibri" w:cs="Calibri" w:eastAsia="Calibri" w:hAnsi="Calibri"/>
          <w:sz w:val="20"/>
          <w:szCs w:val="20"/>
          <w:vertAlign w:val="subscript"/>
        </w:rPr>
        <w:t xml:space="preserve">opt</w:t>
      </w:r>
      <w:r>
        <w:rPr>
          <w:rFonts w:ascii="Calibri" w:cs="Calibri" w:eastAsia="Calibri" w:hAnsi="Calibri"/>
          <w:sz w:val="20"/>
          <w:szCs w:val="20"/>
        </w:rPr>
        <w:t xml:space="preserve">(CUE) in Fig. 1e. Dashed lines, body (37 °C) and fever (40 °C). (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</w:t>
      </w:r>
      <w:r>
        <w:rPr>
          <w:rFonts w:ascii="Calibri" w:cs="Calibri" w:eastAsia="Calibri" w:hAnsi="Calibri"/>
          <w:sz w:val="20"/>
          <w:szCs w:val="20"/>
        </w:rPr>
        <w:t xml:space="preserve">) Environmental growth optimum versus the cost of a fever ([R/G] at 40 °C ÷ at 37 °C), five taxa (points, 95% CrI); the warmer a taxon’s optimum, the lower its fever cost (posterior Spearman ρ = −0.90). (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</w:t>
      </w:r>
      <w:r>
        <w:rPr>
          <w:rFonts w:ascii="Calibri" w:cs="Calibri" w:eastAsia="Calibri" w:hAnsi="Calibri"/>
          <w:sz w:val="20"/>
          <w:szCs w:val="20"/>
        </w:rPr>
        <w:t xml:space="preserve">) The 37→40 °C bill: growth retained (growth at 40 °C ÷ at 37 °C, left) and the accompanying increase in respiratory cost per unit growth (right); points, posterior medians; bars, 95% CrI; 1 = no change. (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</w:t>
      </w:r>
      <w:r>
        <w:rPr>
          <w:rFonts w:ascii="Calibri" w:cs="Calibri" w:eastAsia="Calibri" w:hAnsi="Calibri"/>
          <w:sz w:val="20"/>
          <w:szCs w:val="20"/>
        </w:rPr>
        <w:t xml:space="preserve">) Pairwise ratios of fever cost (I-IV, </w:t>
      </w:r>
      <w:r>
        <w:rPr>
          <w:rFonts w:ascii="Calibri" w:cs="Calibri" w:eastAsia="Calibri" w:hAnsi="Calibri"/>
          <w:sz w:val="20"/>
          <w:szCs w:val="20"/>
        </w:rPr>
        <w:t xml:space="preserve">C.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auris </w:t>
      </w:r>
      <w:r>
        <w:rPr>
          <w:rFonts w:ascii="Calibri" w:cs="Calibri" w:eastAsia="Calibri" w:hAnsi="Calibri"/>
          <w:sz w:val="20"/>
          <w:szCs w:val="20"/>
        </w:rPr>
        <w:t xml:space="preserve">clades). Red, 95% CrI excludes 1; grey, unresolved.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Reference</w:t>
      </w:r>
    </w:p>
    <w:p>
      <w:pPr>
        <w:spacing w:after="160" w:line="264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Cakin I, Millington R, Pawar S, Buckling A, Smirnoff N, Padfield D, Duffy J, Yvon-Durocher G.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 novel method to simultaneously estimate bacterial respiration and growth from oxygen dynamics. </w:t>
      </w:r>
      <w:r>
        <w:rPr>
          <w:rFonts w:ascii="Calibri" w:cs="Calibri" w:eastAsia="Calibri" w:hAnsi="Calibri"/>
          <w:sz w:val="22"/>
          <w:szCs w:val="22"/>
        </w:rPr>
        <w:t xml:space="preserve">ISME Communications </w:t>
      </w:r>
      <w:r>
        <w:rPr>
          <w:rFonts w:ascii="Calibri" w:cs="Calibri" w:eastAsia="Calibri" w:hAnsi="Calibri"/>
          <w:sz w:val="22"/>
          <w:szCs w:val="22"/>
        </w:rPr>
        <w:t xml:space="preserve">2026;6(1):ycag024. </w:t>
      </w:r>
      <w:r>
        <w:rPr>
          <w:rFonts w:ascii="Calibri" w:cs="Calibri" w:eastAsia="Calibri" w:hAnsi="Calibri"/>
          <w:color w:val="0563C1"/>
          <w:sz w:val="22"/>
          <w:szCs w:val="22"/>
        </w:rPr>
        <w:t xml:space="preserve">https://doi.org/10.1093/ismeco/ycag024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d823f94fbd4ae11151bfb1ec45aecb049f41863.png"/><Relationship Id="rId8" Type="http://schemas.openxmlformats.org/officeDocument/2006/relationships/image" Target="media/25d4ba8d63907035fc6da1c43a480b4d5286395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Candida thermal energetics</dc:creator>
  <cp:lastModifiedBy>Un-named</cp:lastModifiedBy>
  <cp:revision>1</cp:revision>
  <dcterms:created xsi:type="dcterms:W3CDTF">2026-07-16T19:44:47.645Z</dcterms:created>
  <dcterms:modified xsi:type="dcterms:W3CDTF">2026-07-16T19:44:47.646Z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