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The metabolic cost of the febrile host across the priority Candida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Results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Dissolved-oxygen respirometry was used to fit thermal performance curves for four </w:t>
      </w:r>
      <w:r>
        <w:rPr>
          <w:rFonts w:ascii="Calibri" w:cs="Calibri" w:eastAsia="Calibri" w:hAnsi="Calibri"/>
          <w:sz w:val="22"/>
          <w:szCs w:val="22"/>
        </w:rPr>
        <w:t xml:space="preserve">Candida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clades (I-IV; three isolates each) and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(three isolates), across 22-44 °C (12 temperatures). Growth was modelled with a Sharpe-Schoolfield function and per-cell respiration with a Boltzmann-Arrhenius function, both fitted hierarchically (isolates nested within clades) in a Bayesian framework. Unless stated, values are posterior medians with 95% credible intervals (CrI).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Methods (summary)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concentration was recorded continuously with PreSens SensorDish readers across the temperature series (22-44 °C, 12 temperatures; one plate per group × temperature, three isolates × five replicate wells). Specific growth rate and per-cell respiration rate were recovered simultaneously from each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time series using the mechanistic oxygen-dynamics model of Cakin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et al. </w:t>
      </w:r>
      <w:r>
        <w:rPr>
          <w:rFonts w:ascii="Calibri" w:cs="Calibri" w:eastAsia="Calibri" w:hAnsi="Calibri"/>
          <w:sz w:val="22"/>
          <w:szCs w:val="22"/>
        </w:rPr>
        <w:t xml:space="preserve">(2026), which couples exponential population growth with biomass-proportional oxygen consumption,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(t) =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2,0</w:t>
      </w:r>
      <w:r>
        <w:rPr>
          <w:rFonts w:ascii="Calibri" w:cs="Calibri" w:eastAsia="Calibri" w:hAnsi="Calibri"/>
          <w:sz w:val="22"/>
          <w:szCs w:val="22"/>
        </w:rPr>
        <w:t xml:space="preserve"> + (K/r)(1 − e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rt</w:t>
      </w:r>
      <w:r>
        <w:rPr>
          <w:rFonts w:ascii="Calibri" w:cs="Calibri" w:eastAsia="Calibri" w:hAnsi="Calibri"/>
          <w:sz w:val="22"/>
          <w:szCs w:val="22"/>
        </w:rPr>
        <w:t xml:space="preserve">), where r is the specific growth rate and K the volumetric O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consumption rate at the window start. Per-cell respiration, carbon-use efficiency and derived quantities were computed as in that study. Thermal performance curves were then fitted hierarchically as above; carbon-use efficiency was derived from the joint growth and respiration posteriors.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Growth and respiration decouple, placing the carbon-economy optimum below body temperature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Growth rate rose with temperature to a clade-level optimum near 33-36 °C and then declined, following the expected unimodal thermal performance curve (Fig. 1a). Per-cell respiration showed no such turnover: it increased monotonically across the entire measured range, and leave-one-out cross-validation favoured the monotonic Arrhenius model over a unimodal Sharpe-Schoolfield alternative (Fig. 1b). Growth and respiration are therefore governed by different thermal sensitivities.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difference is quantified by the activation energies (Fig. 1c). In every taxon, the activation energy of growth exceeded that of respiration: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G</w:t>
      </w:r>
      <w:r>
        <w:rPr>
          <w:rFonts w:ascii="Calibri" w:cs="Calibri" w:eastAsia="Calibri" w:hAnsi="Calibri"/>
          <w:sz w:val="22"/>
          <w:szCs w:val="22"/>
        </w:rPr>
        <w:t xml:space="preserve"> ranged 0.81-1.14 eV and 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 0.30-0.52 eV, with the growth-respiration difference credibly greater than zero in all five taxa (0.39-0.73 eV; 95% CrI excluding zero throughout). Growth is thus roughly twice as temperature-sensitive as respiration.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respiration continues to rise while growth saturates and falls, carbon-use efficiency (CUE = G/(G+R)) is itself a unimodal function of temperature that peaks early and then collapses (Fig. 1d). The temperature of this economic optimum, 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opt</w:t>
      </w:r>
      <w:r>
        <w:rPr>
          <w:rFonts w:ascii="Calibri" w:cs="Calibri" w:eastAsia="Calibri" w:hAnsi="Calibri"/>
          <w:sz w:val="22"/>
          <w:szCs w:val="22"/>
        </w:rPr>
        <w:t xml:space="preserve">(CUE) lay below human body temperature in every taxon: 31.3-34.1 °C, with posterior probability P(T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opt</w:t>
      </w:r>
      <w:r>
        <w:rPr>
          <w:rFonts w:ascii="Calibri" w:cs="Calibri" w:eastAsia="Calibri" w:hAnsi="Calibri"/>
          <w:sz w:val="22"/>
          <w:szCs w:val="22"/>
        </w:rPr>
        <w:t xml:space="preserve">(CUE) &lt; 37 °C) ≥ 0.999 for all five (Fig. 1e). The economic optimum sat 1.0-2.6 °C below the growth optimum and 2.9-5.7 °C below 37 °C. The mammalian host temperature therefore lies beyond the point at which warming still improves the carbon economy of any species tested.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687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Figure 1. Growth and respiration decouple with temperature, placing every carbon-economy optimum below body temperature. </w:t>
      </w:r>
      <w:r>
        <w:rPr>
          <w:rFonts w:ascii="Calibri" w:cs="Calibri" w:eastAsia="Calibri" w:hAnsi="Calibri"/>
          <w:sz w:val="20"/>
          <w:szCs w:val="20"/>
        </w:rPr>
        <w:t xml:space="preserve">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) Growth and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) per-cell respiration versus temperature (points, isolate-level observations; lines, clade-level posterior medians; bands, 95% CrI). Growth turns over; respiration does not (Arrhenius favoured over Sharpe-Schoolfield by leave-one-out cross-validation).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) Activation energies of growth (circles) and respiration (triangles); dashed line, the 0.65 eV metabolic-theory value. Growth is credibly more temperature-sensitive than respiration in all five taxa.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0"/>
          <w:szCs w:val="20"/>
        </w:rPr>
        <w:t xml:space="preserve">) Carbon-use efficiency, CUE = G/(G+R), collapses with warming and peaks early; filled points mark each curve’s peak.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</w:t>
      </w:r>
      <w:r>
        <w:rPr>
          <w:rFonts w:ascii="Calibri" w:cs="Calibri" w:eastAsia="Calibri" w:hAnsi="Calibri"/>
          <w:sz w:val="20"/>
          <w:szCs w:val="20"/>
        </w:rPr>
        <w:t xml:space="preserve">) Thermal optimum of CUE (filled points, 95% CrI; open points, growth optimum; small points, isolates), with the posterior probability that it lies below 37 °C. Shaded band, 37 to 40 °C (body to fever).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A febrile host imposes a quantifiable, taxon-specific carbon tax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Because the economic optimum lies below 37 °C, every taxon operates at a carbon penalty in the host. We express this as the relative respiratory cost, i.e. respiration per unit growth relative to each taxon’s own cheapest temperature (Fig. 2a). At 40 °C (fever), this cost reached 1.34× for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 IV but 3.22× for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three-degree step from body temperature (37 °C) to fever (40 °C) captures the clinical penalty most directly (Fig. 2c). Over this interval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retained only 57% of its 37 °C growth rate (0.57, 95% CrI 0.49-0.65) while its respiratory cost per unit growth rose 2.00× (1.76-2.32). The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clades were far less affected: Clade IV retained 89% of growth (0.89, 0.86-0.93) at a cost increase of only 1.25× (1.19-1.31), with Clades I-III intermediate (growth retained 0.67-0.84; cost 1.37×-1.72×). Fever thus suppresses growth without suppressing respiration, and it does so most severely in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warmer environmental optimum predicts a lower cost of fever. </w:t>
      </w:r>
      <w:r>
        <w:rPr>
          <w:rFonts w:ascii="Calibri" w:cs="Calibri" w:eastAsia="Calibri" w:hAnsi="Calibri"/>
          <w:sz w:val="22"/>
          <w:szCs w:val="22"/>
        </w:rPr>
        <w:t xml:space="preserve">Across the five taxa, the environmental growth optimum was strongly and negatively associated with the metabolic cost of fever: the more thermotolerant a taxon, the less a fever cost it (Fig. 2b). Computed as a posterior distribution over Spearman’s ρ (propagating parameter uncertainty rather than treating the five taxon medians as fixed), the correlation was ρ = −0.90 (95% CrI −1.00 to −0.30; P(ρ &lt; 0) = 0.996).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occupied the cool-optimum, expensive-fever extreme and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 IV the warm-optimum, cheap-fever extreme. This links adaptation to a warm environment with tolerance of the febrile host as facets of a single thermal trait, consistent with the hypothesis that environmental thermal selection underlies fungal thermotolerance to the mammalian host. We note that 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opt</w:t>
      </w:r>
      <w:r>
        <w:rPr>
          <w:rFonts w:ascii="Calibri" w:cs="Calibri" w:eastAsia="Calibri" w:hAnsi="Calibri"/>
          <w:sz w:val="22"/>
          <w:szCs w:val="22"/>
        </w:rPr>
        <w:t xml:space="preserve"> and fever cost are partly geometrically coupled through the growth curve; however, respiration (E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) is an independent parameter that could have broken the relationship and did not. The correlation rests on only five taxa; it is therefore reported as suggestive and will be tested directly with additional species.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Clade-level differences within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 </w:t>
      </w:r>
      <w:r>
        <w:rPr>
          <w:rFonts w:ascii="Calibri" w:cs="Calibri" w:eastAsia="Calibri" w:hAnsi="Calibri"/>
          <w:sz w:val="22"/>
          <w:szCs w:val="22"/>
        </w:rPr>
        <w:t xml:space="preserve">Pairwise comparison of the fever cost resolved 8 of 10 taxon contrasts (95% CrI excluding a ratio of 1; Fig. 2d). All four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auris </w:t>
      </w:r>
      <w:r>
        <w:rPr>
          <w:rFonts w:ascii="Calibri" w:cs="Calibri" w:eastAsia="Calibri" w:hAnsi="Calibri"/>
          <w:sz w:val="22"/>
          <w:szCs w:val="22"/>
        </w:rPr>
        <w:t xml:space="preserve">clades credibly paid less at fever than </w:t>
      </w:r>
      <w:r>
        <w:rPr>
          <w:rFonts w:ascii="Calibri" w:cs="Calibri" w:eastAsia="Calibri" w:hAnsi="Calibri"/>
          <w:sz w:val="22"/>
          <w:szCs w:val="22"/>
        </w:rPr>
        <w:t xml:space="preserve">C.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parapsilosis </w:t>
      </w:r>
      <w:r>
        <w:rPr>
          <w:rFonts w:ascii="Calibri" w:cs="Calibri" w:eastAsia="Calibri" w:hAnsi="Calibri"/>
          <w:sz w:val="22"/>
          <w:szCs w:val="22"/>
        </w:rPr>
        <w:t xml:space="preserve">(cost ratios 0.42-0.70), and Clade IV was credibly the cheapest of all clades. Only two contrasts, Clade I versus Clade II (0.85, 0.68-1.05) and Clade I versus Clade III (1.18, 0.99-1.41), could not be separated at three isolates per clade.</w:t>
      </w:r>
    </w:p>
    <w:p>
      <w:pPr>
        <w:spacing w:after="60" w:before="120"/>
        <w:jc w:val="center"/>
      </w:pPr>
      <w:r>
        <w:drawing>
          <wp:inline distT="0" distB="0" distL="0" distR="0">
            <wp:extent cx="5848350" cy="671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Figure 2. The metabolic cost of a fever, and its relationship to environmental thermotolerance. </w:t>
      </w:r>
      <w:r>
        <w:rPr>
          <w:rFonts w:ascii="Calibri" w:cs="Calibri" w:eastAsia="Calibri" w:hAnsi="Calibri"/>
          <w:sz w:val="20"/>
          <w:szCs w:val="20"/>
        </w:rPr>
        <w:t xml:space="preserve">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</w:t>
      </w:r>
      <w:r>
        <w:rPr>
          <w:rFonts w:ascii="Calibri" w:cs="Calibri" w:eastAsia="Calibri" w:hAnsi="Calibri"/>
          <w:sz w:val="20"/>
          <w:szCs w:val="20"/>
        </w:rPr>
        <w:t xml:space="preserve">) Relative respiratory cost (respiration per unit growth, relative to each taxon’s own cheapest temperature) versus temperature; filled points mark each minimum, which coincides with T</w:t>
      </w:r>
      <w:r>
        <w:rPr>
          <w:rFonts w:ascii="Calibri" w:cs="Calibri" w:eastAsia="Calibri" w:hAnsi="Calibri"/>
          <w:sz w:val="20"/>
          <w:szCs w:val="20"/>
          <w:vertAlign w:val="subscript"/>
        </w:rPr>
        <w:t xml:space="preserve">opt</w:t>
      </w:r>
      <w:r>
        <w:rPr>
          <w:rFonts w:ascii="Calibri" w:cs="Calibri" w:eastAsia="Calibri" w:hAnsi="Calibri"/>
          <w:sz w:val="20"/>
          <w:szCs w:val="20"/>
        </w:rPr>
        <w:t xml:space="preserve">(CUE) in Fig. 1e. Dashed lines, body (37 °C) and fever (40 °C).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) Environmental growth optimum versus the cost of a fever ([R/G] at 40 °C ÷ at 37 °C), five taxa (points, 95% CrI); the warmer a taxon’s optimum, the lower its fever cost (posterior Spearman ρ = −0.90).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</w:t>
      </w:r>
      <w:r>
        <w:rPr>
          <w:rFonts w:ascii="Calibri" w:cs="Calibri" w:eastAsia="Calibri" w:hAnsi="Calibri"/>
          <w:sz w:val="20"/>
          <w:szCs w:val="20"/>
        </w:rPr>
        <w:t xml:space="preserve">) The 37→40 °C bill: growth retained (growth at 40 °C ÷ at 37 °C, left) and the accompanying increase in respiratory cost per unit growth (right); points, posterior medians; bars, 95% CrI; 1 = no change.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</w:t>
      </w:r>
      <w:r>
        <w:rPr>
          <w:rFonts w:ascii="Calibri" w:cs="Calibri" w:eastAsia="Calibri" w:hAnsi="Calibri"/>
          <w:sz w:val="20"/>
          <w:szCs w:val="20"/>
        </w:rPr>
        <w:t xml:space="preserve">) Pairwise ratios of fever cost (I-IV, </w:t>
      </w:r>
      <w:r>
        <w:rPr>
          <w:rFonts w:ascii="Calibri" w:cs="Calibri" w:eastAsia="Calibri" w:hAnsi="Calibri"/>
          <w:sz w:val="20"/>
          <w:szCs w:val="20"/>
        </w:rPr>
        <w:t xml:space="preserve">C.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auris </w:t>
      </w:r>
      <w:r>
        <w:rPr>
          <w:rFonts w:ascii="Calibri" w:cs="Calibri" w:eastAsia="Calibri" w:hAnsi="Calibri"/>
          <w:sz w:val="20"/>
          <w:szCs w:val="20"/>
        </w:rPr>
        <w:t xml:space="preserve">clades). Red, 95% CrI excludes 1; grey, unresolved.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Reference</w:t>
      </w:r>
    </w:p>
    <w:p>
      <w:pPr>
        <w:spacing w:after="160" w:line="264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Cakin I, Millington R, Pawar S, Buckling A, Smirnoff N, Padfield D, Duffy J, Yvon-Durocher G.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 novel method to simultaneously estimate bacterial respiration and growth from oxygen dynamics. </w:t>
      </w:r>
      <w:r>
        <w:rPr>
          <w:rFonts w:ascii="Calibri" w:cs="Calibri" w:eastAsia="Calibri" w:hAnsi="Calibri"/>
          <w:sz w:val="22"/>
          <w:szCs w:val="22"/>
        </w:rPr>
        <w:t xml:space="preserve">ISME Communications </w:t>
      </w:r>
      <w:r>
        <w:rPr>
          <w:rFonts w:ascii="Calibri" w:cs="Calibri" w:eastAsia="Calibri" w:hAnsi="Calibri"/>
          <w:sz w:val="22"/>
          <w:szCs w:val="22"/>
        </w:rPr>
        <w:t xml:space="preserve">2026;6(1):ycag024. </w:t>
      </w:r>
      <w:r>
        <w:rPr>
          <w:rFonts w:ascii="Calibri" w:cs="Calibri" w:eastAsia="Calibri" w:hAnsi="Calibri"/>
          <w:color w:val="0563C1"/>
          <w:sz w:val="22"/>
          <w:szCs w:val="22"/>
        </w:rPr>
        <w:t xml:space="preserve">https://doi.org/10.1093/ismeco/ycag024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bf1b110a28e64c2fdfadfb5d66780e65a51216.png"/><Relationship Id="rId8" Type="http://schemas.openxmlformats.org/officeDocument/2006/relationships/image" Target="media/2d7c30cde5cff0f0815a1646b3fa68e5a1510e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Candida thermal energetics</dc:creator>
  <cp:lastModifiedBy>Un-named</cp:lastModifiedBy>
  <cp:revision>1</cp:revision>
  <dcterms:created xsi:type="dcterms:W3CDTF">2026-07-15T17:52:06.600Z</dcterms:created>
  <dcterms:modified xsi:type="dcterms:W3CDTF">2026-07-15T17:52:06.604Z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