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BB" w:rsidRPr="00AF3EBB" w:rsidRDefault="00AF3EBB" w:rsidP="007F64D4">
      <w:pPr>
        <w:shd w:val="clear" w:color="auto" w:fill="FFFFFF"/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</w:pPr>
      <w:r w:rsidRPr="00AF3EBB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Impacto socio</w:t>
      </w:r>
      <w:r w:rsidRPr="007F64D4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demográfico</w:t>
      </w:r>
      <w:r w:rsidRPr="00AF3EBB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de</w:t>
      </w:r>
      <w:r w:rsidR="00DA2749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</w:t>
      </w:r>
      <w:r w:rsidRPr="00AF3EBB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l</w:t>
      </w:r>
      <w:r w:rsidR="00DA2749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a</w:t>
      </w:r>
      <w:r w:rsidRPr="00AF3EBB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 xml:space="preserve"> COVID-19</w:t>
      </w:r>
    </w:p>
    <w:p w:rsidR="00075D51" w:rsidRPr="007F64D4" w:rsidRDefault="00AF3EBB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La 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>C</w:t>
      </w: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OVID-19 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>afecta en distinto grado a los diversos grupos que componen la población residente en Cantabria y España</w:t>
      </w: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>. E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>n este apartado se presentan los datos básicos demográficos</w:t>
      </w:r>
      <w:r w:rsidR="00075D51"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de la población, 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centrándose en conocer las características y distribución </w:t>
      </w:r>
      <w:r w:rsidR="00075D51"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espacial 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>de los colectivos más afectados, mayores de 60 y 65 años. Así mismo</w:t>
      </w:r>
      <w:r w:rsidR="00075D51" w:rsidRPr="007F64D4">
        <w:rPr>
          <w:rFonts w:ascii="Verdana" w:eastAsia="Times New Roman" w:hAnsi="Verdana" w:cs="Times New Roman"/>
          <w:sz w:val="20"/>
          <w:szCs w:val="20"/>
          <w:lang w:eastAsia="es-ES"/>
        </w:rPr>
        <w:t>,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se </w:t>
      </w:r>
      <w:r w:rsidR="00075D51" w:rsidRPr="007F64D4">
        <w:rPr>
          <w:rFonts w:ascii="Verdana" w:eastAsia="Times New Roman" w:hAnsi="Verdana" w:cs="Times New Roman"/>
          <w:sz w:val="20"/>
          <w:szCs w:val="20"/>
          <w:lang w:eastAsia="es-ES"/>
        </w:rPr>
        <w:t>ofrecen datos de estructurada de hogares, con especial foco en los mayores que residen solos, para entender las circunstancias del confinamiento de estos.</w:t>
      </w:r>
      <w:r w:rsidR="009B52CC" w:rsidRPr="009B52CC">
        <w:rPr>
          <w:noProof/>
          <w:lang w:eastAsia="es-ES"/>
        </w:rPr>
        <w:t xml:space="preserve"> </w:t>
      </w:r>
    </w:p>
    <w:p w:rsidR="00075D51" w:rsidRPr="007F64D4" w:rsidRDefault="00075D51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>Desde la salud y e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>l sistema sanitario, se incluye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>información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relativ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>a</w:t>
      </w: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a las dotaciones hospitalarias totales y públicas, los profesionales colegiados en activo, 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morbilidad hospitalaria y </w:t>
      </w:r>
      <w:r w:rsidRPr="007F64D4">
        <w:rPr>
          <w:rFonts w:ascii="Verdana" w:hAnsi="Verdana" w:cs="Arial"/>
          <w:color w:val="000000"/>
          <w:sz w:val="20"/>
          <w:szCs w:val="20"/>
        </w:rPr>
        <w:t>defunciones según la causa de la muerte</w:t>
      </w:r>
      <w:r w:rsidR="007F64D4" w:rsidRPr="007F64D4">
        <w:rPr>
          <w:rFonts w:ascii="Verdana" w:hAnsi="Verdana" w:cs="Arial"/>
          <w:color w:val="000000"/>
          <w:sz w:val="20"/>
          <w:szCs w:val="20"/>
        </w:rPr>
        <w:t xml:space="preserve"> que permitirán</w:t>
      </w:r>
      <w:r w:rsidRPr="007F64D4">
        <w:rPr>
          <w:rFonts w:ascii="Verdana" w:hAnsi="Verdana" w:cs="Arial"/>
          <w:color w:val="000000"/>
          <w:sz w:val="20"/>
          <w:szCs w:val="20"/>
        </w:rPr>
        <w:t xml:space="preserve"> el análisis y </w:t>
      </w:r>
      <w:r w:rsidR="007F64D4" w:rsidRPr="007F64D4">
        <w:rPr>
          <w:rFonts w:ascii="Verdana" w:hAnsi="Verdana" w:cs="Arial"/>
          <w:color w:val="000000"/>
          <w:sz w:val="20"/>
          <w:szCs w:val="20"/>
        </w:rPr>
        <w:t>las comparaciones</w:t>
      </w:r>
      <w:r w:rsidRPr="007F64D4">
        <w:rPr>
          <w:rFonts w:ascii="Verdana" w:hAnsi="Verdana" w:cs="Arial"/>
          <w:color w:val="000000"/>
          <w:sz w:val="20"/>
          <w:szCs w:val="20"/>
        </w:rPr>
        <w:t xml:space="preserve"> con la situación actua</w:t>
      </w:r>
      <w:r w:rsidR="007F64D4" w:rsidRPr="007F64D4">
        <w:rPr>
          <w:rFonts w:ascii="Verdana" w:hAnsi="Verdana" w:cs="Arial"/>
          <w:color w:val="000000"/>
          <w:sz w:val="20"/>
          <w:szCs w:val="20"/>
        </w:rPr>
        <w:t>l.</w:t>
      </w:r>
      <w:r w:rsidR="009B52CC" w:rsidRPr="009B52CC">
        <w:rPr>
          <w:noProof/>
          <w:lang w:eastAsia="es-ES"/>
        </w:rPr>
        <w:t xml:space="preserve"> </w:t>
      </w:r>
    </w:p>
    <w:p w:rsidR="00AF3EBB" w:rsidRPr="00AF3EBB" w:rsidRDefault="00AF3EBB" w:rsidP="007F64D4">
      <w:pPr>
        <w:shd w:val="clear" w:color="auto" w:fill="FFFFFF"/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</w:pPr>
      <w:r w:rsidRPr="00AF3EBB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Indicadores de impacto de medición directa</w:t>
      </w:r>
    </w:p>
    <w:p w:rsidR="007F64D4" w:rsidRPr="007F64D4" w:rsidRDefault="00AF3EBB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En los indicadores 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>demográficos la t</w:t>
      </w: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asa de variación interanual, es decir el crecimiento habido en el periodo con respecto al mismo periodo del año anterior, </w:t>
      </w:r>
      <w:r w:rsidR="007F64D4"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permite estudiar la evolución de las poblaciones, y para el estudio de su estructura se ha recurrido a la evolución del peso de dichos colectivos. </w:t>
      </w:r>
    </w:p>
    <w:p w:rsidR="007F64D4" w:rsidRPr="007F64D4" w:rsidRDefault="007F64D4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7F64D4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Los datos de salud se estudian a través de la evolución en el tiempo y en los territorios de los fenómenos acaecidos, respecto al total de población a las que afectan, por ello se ofrecen tasas por cien mil habitantes.  </w:t>
      </w:r>
    </w:p>
    <w:p w:rsidR="0025444A" w:rsidRDefault="00AF3EBB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F3EB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Los indicadores se presentan clasificados por temáticas y ofrecen información para Cantabria y España. </w:t>
      </w:r>
    </w:p>
    <w:p w:rsidR="007F64D4" w:rsidRDefault="007F64D4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</w:p>
    <w:p w:rsidR="007F64D4" w:rsidRPr="005A1561" w:rsidRDefault="007F64D4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 w:rsidRPr="005A1561">
        <w:rPr>
          <w:rFonts w:ascii="Verdana" w:eastAsia="Times New Roman" w:hAnsi="Verdana" w:cs="Times New Roman"/>
          <w:b/>
          <w:sz w:val="20"/>
          <w:szCs w:val="20"/>
          <w:lang w:eastAsia="es-ES"/>
        </w:rPr>
        <w:t>VISION GLOBAL</w:t>
      </w:r>
      <w:r w:rsidRPr="005A1561">
        <w:rPr>
          <w:rFonts w:ascii="Verdana" w:eastAsia="Times New Roman" w:hAnsi="Verdana" w:cs="Times New Roman"/>
          <w:b/>
          <w:sz w:val="20"/>
          <w:szCs w:val="20"/>
          <w:lang w:eastAsia="es-ES"/>
        </w:rPr>
        <w:tab/>
      </w:r>
    </w:p>
    <w:p w:rsidR="007F64D4" w:rsidRPr="005A1561" w:rsidRDefault="007F64D4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</w:pPr>
      <w:r w:rsidRPr="005A1561"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  <w:t xml:space="preserve">Demografía. Tasas de variación interanual (%). </w:t>
      </w:r>
    </w:p>
    <w:p w:rsidR="007F64D4" w:rsidRPr="005A1561" w:rsidRDefault="005A1561" w:rsidP="005A1561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5A1561">
        <w:rPr>
          <w:rFonts w:ascii="Verdana" w:hAnsi="Verdana"/>
          <w:sz w:val="20"/>
          <w:szCs w:val="20"/>
        </w:rPr>
        <w:t>uitamos lo de tasas de variación o se deja y se añade Proporciones respectos población total.</w:t>
      </w:r>
    </w:p>
    <w:p w:rsidR="005A1561" w:rsidRDefault="005A1561" w:rsidP="005A1561">
      <w:pPr>
        <w:shd w:val="clear" w:color="auto" w:fill="FFFFFF"/>
        <w:spacing w:after="240" w:line="240" w:lineRule="auto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sz w:val="20"/>
          <w:szCs w:val="20"/>
          <w:lang w:eastAsia="es-ES"/>
        </w:rPr>
        <w:t>Demografía. Ta</w:t>
      </w:r>
      <w:r>
        <w:rPr>
          <w:rFonts w:ascii="Verdana" w:eastAsia="Times New Roman" w:hAnsi="Verdana" w:cs="Times New Roman"/>
          <w:sz w:val="20"/>
          <w:szCs w:val="20"/>
          <w:lang w:eastAsia="es-ES"/>
        </w:rPr>
        <w:t>sas de variación interanual (%) y Proporciones respecto población total (%)</w:t>
      </w:r>
      <w:r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</w:p>
    <w:p w:rsidR="005A1561" w:rsidRPr="005A1561" w:rsidRDefault="005A1561" w:rsidP="005A1561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5A1561">
        <w:rPr>
          <w:rFonts w:ascii="Verdana" w:eastAsia="Times New Roman" w:hAnsi="Verdana" w:cs="Times New Roman"/>
          <w:sz w:val="20"/>
          <w:szCs w:val="20"/>
          <w:lang w:eastAsia="es-ES"/>
        </w:rPr>
        <w:t>Fuente Incluir la Fuente de Hogares: Fuente: ICANE a partir de la Encuesta Continua de Hogares, INE</w:t>
      </w:r>
    </w:p>
    <w:p w:rsidR="005A1561" w:rsidRPr="005A1561" w:rsidRDefault="005A1561" w:rsidP="005A1561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</w:pPr>
      <w:r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  <w:t>Salud</w:t>
      </w:r>
      <w:r w:rsidRPr="005A1561"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  <w:t xml:space="preserve">. Tasas de variación interanual (%). </w:t>
      </w:r>
    </w:p>
    <w:p w:rsidR="005A1561" w:rsidRPr="005A1561" w:rsidRDefault="005A1561" w:rsidP="005A1561">
      <w:pPr>
        <w:pStyle w:val="Prrafodelista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Cambiar texto por </w:t>
      </w:r>
      <w:r w:rsidRPr="005A1561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Sanidad. Tasas respecto al total de población residente</w:t>
      </w:r>
    </w:p>
    <w:p w:rsidR="005A1561" w:rsidRPr="005A1561" w:rsidRDefault="005A1561" w:rsidP="005A1561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</w:pPr>
      <w:r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  <w:t>Defunciones</w:t>
      </w:r>
      <w:r w:rsidRPr="005A1561">
        <w:rPr>
          <w:rFonts w:ascii="Verdana" w:eastAsia="Times New Roman" w:hAnsi="Verdana" w:cs="Times New Roman"/>
          <w:sz w:val="20"/>
          <w:szCs w:val="20"/>
          <w:u w:val="single"/>
          <w:lang w:eastAsia="es-ES"/>
        </w:rPr>
        <w:t xml:space="preserve">. Tasas de variación interanual (%). </w:t>
      </w:r>
    </w:p>
    <w:p w:rsidR="005A1561" w:rsidRDefault="005A1561" w:rsidP="005A1561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Cambiar texto por </w:t>
      </w:r>
      <w:r w:rsidRPr="005A1561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Defunciones</w:t>
      </w:r>
      <w:r>
        <w:rPr>
          <w:rFonts w:ascii="Verdana" w:hAnsi="Verdana"/>
          <w:sz w:val="20"/>
          <w:szCs w:val="20"/>
        </w:rPr>
        <w:t xml:space="preserve">. Tasas </w:t>
      </w:r>
      <w:r>
        <w:rPr>
          <w:rFonts w:ascii="Verdana" w:hAnsi="Verdana"/>
          <w:sz w:val="20"/>
          <w:szCs w:val="20"/>
        </w:rPr>
        <w:t>por 100.000 habitantes</w:t>
      </w:r>
    </w:p>
    <w:p w:rsidR="00DA2749" w:rsidRPr="00DA2749" w:rsidRDefault="00DA2749" w:rsidP="00DA2749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>MAPAS MUNICIPALES (</w:t>
      </w:r>
      <w:r w:rsidR="00D94FB0">
        <w:rPr>
          <w:rFonts w:ascii="Verdana" w:eastAsia="Times New Roman" w:hAnsi="Verdana" w:cs="Times New Roman"/>
          <w:b/>
          <w:sz w:val="20"/>
          <w:szCs w:val="20"/>
          <w:lang w:eastAsia="es-ES"/>
        </w:rPr>
        <w:t>Población 60 y+ años)</w:t>
      </w:r>
    </w:p>
    <w:p w:rsidR="00DA2749" w:rsidRDefault="00D94FB0" w:rsidP="00DA2749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Todos son de población de 60 y más años, no sé por qué se me </w:t>
      </w:r>
      <w:r w:rsidR="00D806E5">
        <w:rPr>
          <w:rFonts w:ascii="Verdana" w:hAnsi="Verdana"/>
          <w:sz w:val="20"/>
          <w:szCs w:val="20"/>
        </w:rPr>
        <w:t>quedó</w:t>
      </w:r>
      <w:r>
        <w:rPr>
          <w:rFonts w:ascii="Verdana" w:hAnsi="Verdana"/>
          <w:sz w:val="20"/>
          <w:szCs w:val="20"/>
        </w:rPr>
        <w:t xml:space="preserve"> lo de 30. Incluir fuente</w:t>
      </w:r>
    </w:p>
    <w:p w:rsidR="00D94FB0" w:rsidRPr="00D94FB0" w:rsidRDefault="00D94FB0" w:rsidP="00D94FB0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</w:pPr>
      <w:r w:rsidRPr="00D94FB0"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  <w:t>Fuente: ICANE a partir de la explotación de microdatros del Padrón Municipal de Habitantes, INE</w:t>
      </w:r>
    </w:p>
    <w:p w:rsidR="00D94FB0" w:rsidRDefault="00D94FB0" w:rsidP="00DA2749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</w:p>
    <w:p w:rsidR="00D94FB0" w:rsidRDefault="00D94FB0" w:rsidP="00DA2749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Las categorías estaban en las imágenes de la última hoja del Excel. Os las paso de nuevo. Por colores</w:t>
      </w:r>
      <w:r w:rsidR="00DE5ACF">
        <w:rPr>
          <w:rFonts w:ascii="Verdana" w:hAnsi="Verdana"/>
          <w:sz w:val="20"/>
          <w:szCs w:val="20"/>
        </w:rPr>
        <w:t xml:space="preserve"> dejaría en verde el del total, hombres en azul, mujeres en rojo</w:t>
      </w:r>
      <w:r w:rsidR="00D806E5">
        <w:rPr>
          <w:rFonts w:ascii="Verdana" w:hAnsi="Verdana"/>
          <w:sz w:val="20"/>
          <w:szCs w:val="20"/>
        </w:rPr>
        <w:t>. Los mismo que en la aplicación de casos</w:t>
      </w:r>
    </w:p>
    <w:p w:rsidR="009B52CC" w:rsidRDefault="009B52CC" w:rsidP="00DA2749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969578B" wp14:editId="195036C1">
            <wp:extent cx="5400040" cy="7637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CC" w:rsidRPr="00DA2749" w:rsidRDefault="009B52CC" w:rsidP="00DA2749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</w:p>
    <w:p w:rsidR="009B52CC" w:rsidRDefault="009B52CC" w:rsidP="007F64D4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</w:p>
    <w:p w:rsidR="009B52CC" w:rsidRDefault="009B52CC" w:rsidP="007F64D4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55FE27FE" wp14:editId="12512467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400040" cy="4954270"/>
            <wp:effectExtent l="0" t="0" r="0" b="0"/>
            <wp:wrapTopAndBottom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2" t="35346" r="402" b="-214"/>
                    <a:stretch/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13E" w:rsidRDefault="00E6413E" w:rsidP="009B52C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>DEMOGRAFÍA</w:t>
      </w:r>
    </w:p>
    <w:p w:rsidR="00E6413E" w:rsidRPr="00175DBA" w:rsidRDefault="00E6413E" w:rsidP="00E6413E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sz w:val="20"/>
          <w:szCs w:val="20"/>
          <w:lang w:eastAsia="es-ES"/>
        </w:rPr>
        <w:t>Faltaría poner el apartado de Demografía, con la evolución de población desde 2000</w:t>
      </w:r>
      <w:r w:rsidR="00D806E5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o incluirlo en Hogares, llamándolo Demografía y Hogares</w:t>
      </w:r>
    </w:p>
    <w:p w:rsidR="009B52CC" w:rsidRDefault="009B52CC" w:rsidP="009B52C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>HOGARES</w:t>
      </w:r>
    </w:p>
    <w:p w:rsidR="009B52CC" w:rsidRPr="00175DBA" w:rsidRDefault="00175DBA" w:rsidP="009B52C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sz w:val="20"/>
          <w:szCs w:val="20"/>
          <w:lang w:eastAsia="es-ES"/>
        </w:rPr>
        <w:t>La Encuesta continua de Hogares comienza en 2013,</w:t>
      </w:r>
      <w:r w:rsidR="006F451B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¿</w:t>
      </w:r>
      <w:r>
        <w:rPr>
          <w:rFonts w:ascii="Verdana" w:eastAsia="Times New Roman" w:hAnsi="Verdana" w:cs="Times New Roman"/>
          <w:sz w:val="20"/>
          <w:szCs w:val="20"/>
          <w:lang w:eastAsia="es-ES"/>
        </w:rPr>
        <w:t>se podría dejar los gráficos desde ese año?</w:t>
      </w:r>
    </w:p>
    <w:p w:rsidR="00EB5309" w:rsidRPr="00EB5309" w:rsidRDefault="00EB5309" w:rsidP="00EB5309">
      <w:pPr>
        <w:jc w:val="both"/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 xml:space="preserve">Fuente: </w:t>
      </w:r>
      <w:r w:rsidRPr="00EB5309"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  <w:t>Fuente: ICANE a partir de la Encuesta Continua de Hogares, INE</w:t>
      </w:r>
    </w:p>
    <w:p w:rsidR="00E6413E" w:rsidRDefault="00E6413E" w:rsidP="00E6413E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 xml:space="preserve">PROFESIONALES SANITARIOS </w:t>
      </w:r>
    </w:p>
    <w:p w:rsidR="00D806E5" w:rsidRPr="00D806E5" w:rsidRDefault="00D806E5" w:rsidP="00E6413E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D806E5">
        <w:rPr>
          <w:rFonts w:ascii="Verdana" w:eastAsia="Times New Roman" w:hAnsi="Verdana" w:cs="Times New Roman"/>
          <w:sz w:val="20"/>
          <w:szCs w:val="20"/>
          <w:lang w:eastAsia="es-ES"/>
        </w:rPr>
        <w:t>Pondría la tabla de evolución</w:t>
      </w:r>
    </w:p>
    <w:p w:rsidR="00E6413E" w:rsidRPr="00E6413E" w:rsidRDefault="00E6413E" w:rsidP="00E6413E">
      <w:pPr>
        <w:spacing w:after="0" w:line="240" w:lineRule="auto"/>
        <w:jc w:val="both"/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</w:pPr>
      <w:r w:rsidRPr="00E6413E">
        <w:rPr>
          <w:rFonts w:ascii="Century Gothic" w:eastAsia="Times New Roman" w:hAnsi="Century Gothic" w:cs="Times New Roman"/>
          <w:color w:val="000000"/>
          <w:sz w:val="16"/>
          <w:szCs w:val="16"/>
          <w:lang w:eastAsia="es-ES"/>
        </w:rPr>
        <w:t>Fuente: ICANE a partir de Estadística de Estadística de Profesionales Sanitarios Colegiados, INE</w:t>
      </w:r>
    </w:p>
    <w:p w:rsidR="009B52CC" w:rsidRDefault="009B52CC" w:rsidP="007F64D4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</w:p>
    <w:p w:rsidR="005A1561" w:rsidRDefault="00E6413E" w:rsidP="007F64D4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>DOTACIÓN HOSPITALARIA</w:t>
      </w:r>
      <w:r w:rsidR="00D94FB0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8583A6B" wp14:editId="3F2FB7F3">
            <wp:simplePos x="0" y="0"/>
            <wp:positionH relativeFrom="column">
              <wp:posOffset>0</wp:posOffset>
            </wp:positionH>
            <wp:positionV relativeFrom="paragraph">
              <wp:posOffset>10150475</wp:posOffset>
            </wp:positionV>
            <wp:extent cx="5400040" cy="495427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2" t="35346" r="402" b="-214"/>
                    <a:stretch/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FB7" w:rsidRPr="00D806E5" w:rsidRDefault="00E6413E" w:rsidP="00686FB7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 w:rsidRPr="00E6413E">
        <w:rPr>
          <w:rFonts w:ascii="Verdana" w:eastAsia="Times New Roman" w:hAnsi="Verdana" w:cs="Times New Roman"/>
          <w:sz w:val="20"/>
          <w:szCs w:val="20"/>
          <w:lang w:eastAsia="es-ES"/>
        </w:rPr>
        <w:t>Yo lo dejaría en un solo</w:t>
      </w:r>
      <w:r w:rsidR="00D806E5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apartado</w:t>
      </w:r>
      <w:r w:rsidRPr="00E6413E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juntos total hospitales y hospitales </w:t>
      </w:r>
      <w:r w:rsidR="00686FB7">
        <w:rPr>
          <w:rFonts w:ascii="Verdana" w:eastAsia="Times New Roman" w:hAnsi="Verdana" w:cs="Times New Roman"/>
          <w:sz w:val="20"/>
          <w:szCs w:val="20"/>
          <w:lang w:eastAsia="es-ES"/>
        </w:rPr>
        <w:t>públicos.</w:t>
      </w:r>
    </w:p>
    <w:p w:rsidR="00D806E5" w:rsidRPr="00686FB7" w:rsidRDefault="00D806E5" w:rsidP="00686FB7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es-ES"/>
        </w:rPr>
        <w:t>Podría la tabla de camas en uso de públicos y totales</w:t>
      </w:r>
    </w:p>
    <w:p w:rsidR="00E6413E" w:rsidRPr="003D0628" w:rsidRDefault="00E6413E" w:rsidP="00686FB7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 w:rsidRPr="00E6413E">
        <w:rPr>
          <w:rFonts w:ascii="Verdana" w:eastAsia="Times New Roman" w:hAnsi="Verdana" w:cs="Times New Roman"/>
          <w:sz w:val="20"/>
          <w:szCs w:val="20"/>
          <w:lang w:eastAsia="es-ES"/>
        </w:rPr>
        <w:lastRenderedPageBreak/>
        <w:t>Quitar el gráfico de Quirófanos porque no dice nada</w:t>
      </w:r>
      <w:r w:rsidR="00686FB7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y la de camas de agudos porque hay pocos datos en la serie.</w:t>
      </w:r>
    </w:p>
    <w:p w:rsidR="003D0628" w:rsidRPr="00686FB7" w:rsidRDefault="003D0628" w:rsidP="00686FB7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es-ES"/>
        </w:rPr>
        <w:t>Os paso de nuevo la tabla que había un dato más calculado</w:t>
      </w:r>
      <w:bookmarkStart w:id="0" w:name="_GoBack"/>
      <w:bookmarkEnd w:id="0"/>
    </w:p>
    <w:p w:rsidR="00686FB7" w:rsidRDefault="00686FB7" w:rsidP="00686FB7">
      <w:pPr>
        <w:pStyle w:val="Prrafode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  <w:r w:rsidRPr="00686FB7">
        <w:rPr>
          <w:rFonts w:ascii="Verdana" w:hAnsi="Verdana"/>
          <w:sz w:val="20"/>
          <w:szCs w:val="20"/>
        </w:rPr>
        <w:t>Fuente: ICANE a partir de Estadística de Centros Sanitarios de Atención Especializada, Ministerio de Sanidad</w:t>
      </w:r>
    </w:p>
    <w:p w:rsidR="00686FB7" w:rsidRPr="00686FB7" w:rsidRDefault="00686FB7" w:rsidP="00686FB7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686FB7">
        <w:rPr>
          <w:rFonts w:ascii="Verdana" w:eastAsia="Times New Roman" w:hAnsi="Verdana" w:cs="Times New Roman"/>
          <w:b/>
          <w:sz w:val="20"/>
          <w:szCs w:val="20"/>
          <w:lang w:eastAsia="es-ES"/>
        </w:rPr>
        <w:t>D</w:t>
      </w:r>
      <w:r>
        <w:rPr>
          <w:rFonts w:ascii="Verdana" w:eastAsia="Times New Roman" w:hAnsi="Verdana" w:cs="Times New Roman"/>
          <w:b/>
          <w:sz w:val="20"/>
          <w:szCs w:val="20"/>
          <w:lang w:eastAsia="es-ES"/>
        </w:rPr>
        <w:t>EFUNCIONES POR CAUSA DE MUERTE</w:t>
      </w:r>
    </w:p>
    <w:p w:rsidR="00686FB7" w:rsidRPr="00686FB7" w:rsidRDefault="00686FB7" w:rsidP="00686FB7">
      <w:pPr>
        <w:pStyle w:val="Prrafodelista"/>
        <w:numPr>
          <w:ilvl w:val="0"/>
          <w:numId w:val="6"/>
        </w:numPr>
        <w:shd w:val="clear" w:color="auto" w:fill="FFFFFF"/>
        <w:spacing w:after="240" w:line="240" w:lineRule="auto"/>
        <w:ind w:left="709" w:hanging="283"/>
        <w:jc w:val="both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686FB7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4FB01E6" wp14:editId="3C84BDAE">
            <wp:simplePos x="0" y="0"/>
            <wp:positionH relativeFrom="column">
              <wp:posOffset>0</wp:posOffset>
            </wp:positionH>
            <wp:positionV relativeFrom="paragraph">
              <wp:posOffset>10150475</wp:posOffset>
            </wp:positionV>
            <wp:extent cx="5400040" cy="4954270"/>
            <wp:effectExtent l="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2" t="35346" r="402" b="-214"/>
                    <a:stretch/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sz w:val="20"/>
          <w:szCs w:val="20"/>
          <w:lang w:eastAsia="es-ES"/>
        </w:rPr>
        <w:t>Quitar del grafico España, que con solo dos meses no sirve de nada</w:t>
      </w:r>
    </w:p>
    <w:p w:rsidR="00686FB7" w:rsidRPr="00686FB7" w:rsidRDefault="00686FB7" w:rsidP="00686FB7">
      <w:pPr>
        <w:shd w:val="clear" w:color="auto" w:fill="FFFFFF"/>
        <w:spacing w:after="240" w:line="240" w:lineRule="auto"/>
        <w:jc w:val="both"/>
        <w:rPr>
          <w:rFonts w:ascii="Verdana" w:hAnsi="Verdana"/>
          <w:sz w:val="20"/>
          <w:szCs w:val="20"/>
        </w:rPr>
      </w:pPr>
    </w:p>
    <w:sectPr w:rsidR="00686FB7" w:rsidRPr="0068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FB0" w:rsidRDefault="00D94FB0" w:rsidP="00D94FB0">
      <w:pPr>
        <w:spacing w:after="0" w:line="240" w:lineRule="auto"/>
      </w:pPr>
      <w:r>
        <w:separator/>
      </w:r>
    </w:p>
  </w:endnote>
  <w:endnote w:type="continuationSeparator" w:id="0">
    <w:p w:rsidR="00D94FB0" w:rsidRDefault="00D94FB0" w:rsidP="00D9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FB0" w:rsidRDefault="00D94FB0" w:rsidP="00D94FB0">
      <w:pPr>
        <w:spacing w:after="0" w:line="240" w:lineRule="auto"/>
      </w:pPr>
      <w:r>
        <w:separator/>
      </w:r>
    </w:p>
  </w:footnote>
  <w:footnote w:type="continuationSeparator" w:id="0">
    <w:p w:rsidR="00D94FB0" w:rsidRDefault="00D94FB0" w:rsidP="00D94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E84"/>
    <w:multiLevelType w:val="hybridMultilevel"/>
    <w:tmpl w:val="1C2ADBE2"/>
    <w:lvl w:ilvl="0" w:tplc="3FCE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601C"/>
    <w:multiLevelType w:val="hybridMultilevel"/>
    <w:tmpl w:val="13DE9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9C7"/>
    <w:multiLevelType w:val="hybridMultilevel"/>
    <w:tmpl w:val="AB684D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569A1"/>
    <w:multiLevelType w:val="hybridMultilevel"/>
    <w:tmpl w:val="AB684D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07394"/>
    <w:multiLevelType w:val="hybridMultilevel"/>
    <w:tmpl w:val="9F8E7782"/>
    <w:lvl w:ilvl="0" w:tplc="3FCE26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71833"/>
    <w:multiLevelType w:val="hybridMultilevel"/>
    <w:tmpl w:val="05D03574"/>
    <w:lvl w:ilvl="0" w:tplc="F0CC5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B"/>
    <w:rsid w:val="00075D51"/>
    <w:rsid w:val="00175DBA"/>
    <w:rsid w:val="001B0473"/>
    <w:rsid w:val="00265EE5"/>
    <w:rsid w:val="003D0628"/>
    <w:rsid w:val="005A1561"/>
    <w:rsid w:val="00686FB7"/>
    <w:rsid w:val="006F451B"/>
    <w:rsid w:val="007F64D4"/>
    <w:rsid w:val="009B52CC"/>
    <w:rsid w:val="00AF3EBB"/>
    <w:rsid w:val="00D806E5"/>
    <w:rsid w:val="00D94FB0"/>
    <w:rsid w:val="00DA2749"/>
    <w:rsid w:val="00DE5ACF"/>
    <w:rsid w:val="00E6413E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8793"/>
  <w15:chartTrackingRefBased/>
  <w15:docId w15:val="{416A3A2F-F10B-4D92-88BA-B563D7BD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3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F3E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5A15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4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FB0"/>
  </w:style>
  <w:style w:type="paragraph" w:styleId="Piedepgina">
    <w:name w:val="footer"/>
    <w:basedOn w:val="Normal"/>
    <w:link w:val="PiedepginaCar"/>
    <w:uiPriority w:val="99"/>
    <w:unhideWhenUsed/>
    <w:rsid w:val="00D94F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9E40-2922-4078-BDDB-BB04C04D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Cantabria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 Moreno Lorena</dc:creator>
  <cp:keywords/>
  <dc:description/>
  <cp:lastModifiedBy>Campo Moreno Lorena</cp:lastModifiedBy>
  <cp:revision>11</cp:revision>
  <dcterms:created xsi:type="dcterms:W3CDTF">2020-05-04T07:11:00Z</dcterms:created>
  <dcterms:modified xsi:type="dcterms:W3CDTF">2020-05-04T09:50:00Z</dcterms:modified>
</cp:coreProperties>
</file>