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1.png" ContentType="image/png"/>
  <Override PartName="/word/media/rId32.png" ContentType="image/png"/>
  <Override PartName="/word/media/rId33.png" ContentType="image/png"/>
  <Override PartName="/word/media/rId40.png" ContentType="image/png"/>
  <Override PartName="/word/media/rId41.png" ContentType="image/png"/>
  <Override PartName="/word/media/rId43.png" ContentType="image/png"/>
  <Override PartName="/word/media/rId44.png" ContentType="image/png"/>
  <Override PartName="/word/media/rId46.png" ContentType="image/png"/>
  <Override PartName="/word/media/rId47.png" ContentType="image/png"/>
  <Override PartName="/word/media/rId49.png" ContentType="image/png"/>
  <Override PartName="/word/media/rId50.png" ContentType="image/png"/>
  <Override PartName="/word/media/rId52.png" ContentType="image/png"/>
  <Override PartName="/word/media/rId55.png" ContentType="image/png"/>
  <Override PartName="/word/media/rId56.png" ContentType="image/png"/>
  <Override PartName="/word/media/rId57.png" ContentType="image/png"/>
  <Override PartName="/word/media/rId58.png" ContentType="image/png"/>
  <Override PartName="/word/media/rId61.png" ContentType="image/png"/>
  <Override PartName="/word/media/rId62.png" ContentType="image/png"/>
  <Override PartName="/word/media/rId63.png" ContentType="image/png"/>
  <Override PartName="/word/media/rId64.png" ContentType="image/png"/>
  <Override PartName="/word/media/rId65.png" ContentType="image/png"/>
  <Override PartName="/word/media/rId68.png" ContentType="image/png"/>
  <Override PartName="/word/media/rId69.png" ContentType="image/png"/>
  <Override PartName="/word/media/rId72.png" ContentType="image/png"/>
  <Override PartName="/word/media/rId73.png" ContentType="image/png"/>
  <Override PartName="/word/media/rId75.png" ContentType="image/png"/>
  <Override PartName="/word/media/rId76.png" ContentType="image/png"/>
  <Override PartName="/word/media/rId77.png" ContentType="image/png"/>
  <Override PartName="/word/media/rId78.png" ContentType="image/png"/>
  <Override PartName="/word/media/rId27.png" ContentType="image/png"/>
  <Override PartName="/word/media/rId80.png" ContentType="image/png"/>
  <Override PartName="/word/media/rId81.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Efectos</w:t>
      </w:r>
      <w:r>
        <w:t xml:space="preserve"> </w:t>
      </w:r>
      <w:r>
        <w:t xml:space="preserve">de</w:t>
      </w:r>
      <w:r>
        <w:t xml:space="preserve"> </w:t>
      </w:r>
      <w:r>
        <w:t xml:space="preserve">la</w:t>
      </w:r>
      <w:r>
        <w:t xml:space="preserve"> </w:t>
      </w:r>
      <w:r>
        <w:t xml:space="preserve">Privación</w:t>
      </w:r>
      <w:r>
        <w:t xml:space="preserve"> </w:t>
      </w:r>
      <w:r>
        <w:t xml:space="preserve">en</w:t>
      </w:r>
      <w:r>
        <w:t xml:space="preserve"> </w:t>
      </w:r>
      <w:r>
        <w:t xml:space="preserve">la</w:t>
      </w:r>
      <w:r>
        <w:t xml:space="preserve"> </w:t>
      </w:r>
      <w:r>
        <w:t xml:space="preserve">Mortalidad</w:t>
      </w:r>
      <w:r>
        <w:t xml:space="preserve"> </w:t>
      </w:r>
      <w:r>
        <w:t xml:space="preserve">del</w:t>
      </w:r>
      <w:r>
        <w:t xml:space="preserve"> </w:t>
      </w:r>
      <w:r>
        <w:t xml:space="preserve">Municipio</w:t>
      </w:r>
      <w:r>
        <w:t xml:space="preserve"> </w:t>
      </w:r>
      <w:r>
        <w:t xml:space="preserve">de</w:t>
      </w:r>
      <w:r>
        <w:t xml:space="preserve"> </w:t>
      </w:r>
      <w:r>
        <w:t xml:space="preserve">Santander</w:t>
      </w:r>
    </w:p>
    <w:p>
      <w:pPr>
        <w:pStyle w:val="Author"/>
      </w:pPr>
      <w:r>
        <w:t xml:space="preserve">Francisco</w:t>
      </w:r>
      <w:r>
        <w:t xml:space="preserve"> </w:t>
      </w:r>
      <w:r>
        <w:t xml:space="preserve">Parra</w:t>
      </w:r>
    </w:p>
    <w:p>
      <w:pPr>
        <w:pStyle w:val="Date"/>
      </w:pPr>
      <w:r>
        <w:t xml:space="preserve">6</w:t>
      </w:r>
      <w:r>
        <w:t xml:space="preserve"> </w:t>
      </w:r>
      <w:r>
        <w:t xml:space="preserve">de</w:t>
      </w:r>
      <w:r>
        <w:t xml:space="preserve"> </w:t>
      </w:r>
      <w:r>
        <w:t xml:space="preserve">Octubre</w:t>
      </w:r>
      <w:r>
        <w:t xml:space="preserve"> </w:t>
      </w:r>
      <w:r>
        <w:t xml:space="preserve">de</w:t>
      </w:r>
      <w:r>
        <w:t xml:space="preserve"> </w:t>
      </w:r>
      <w:r>
        <w:t xml:space="preserve">2020</w:t>
      </w:r>
    </w:p>
    <w:bookmarkStart w:id="20" w:name="introducción"/>
    <w:p>
      <w:pPr>
        <w:pStyle w:val="Heading1"/>
      </w:pPr>
      <w:r>
        <w:t xml:space="preserve">Introducción</w:t>
      </w:r>
    </w:p>
    <w:p>
      <w:pPr>
        <w:pStyle w:val="FirstParagraph"/>
      </w:pPr>
      <w:r>
        <w:t xml:space="preserve">Este estudio tiene como objetivo evaluar el efecto de la privación en la mortalidad del municipio de Santander. El estudio es fruto de la participación del Instituto Cantabro de Estadística (ICANE) y el observatorio de salud publica de Canatabria en el proyecto «Mortalidad en áreas pequeñas Españolas y Desigualdades Socioeconómicas y Ambientales» (MEDEA).</w:t>
      </w:r>
    </w:p>
    <w:p>
      <w:pPr>
        <w:pStyle w:val="BodyText"/>
      </w:pPr>
      <w:r>
        <w:t xml:space="preserve">MEDEA es un proyecto de investigación coordinado de 10 grupos, que tiene por objetivo describir los patrones geográficos de mortalidad de diversas ciudades de España y relacionarlos con las características socioeconómicas y ambientales. El proyecto se basa en la sección censal como unidad de análisis. Para el estudio de las desigualdades socioeconómicas se han seleccionado diversos indicadores socioeconómicos simples de los Censos de 2001 y 2011 y se ha elaborado un índice de privación útil para el estudio de las desigualdades socioeconómicas en salud (Dominguez-Berjón et all, 2008).</w:t>
      </w:r>
    </w:p>
    <w:p>
      <w:pPr>
        <w:pStyle w:val="BodyText"/>
      </w:pPr>
      <w:r>
        <w:t xml:space="preserve">El equipo de Cantabria ha elaborado a su vez un Indicador Multidimensional de Privación que, además de la información censal, incluye otra información socioeconómica sobre vulnerabilidad (Renta Básica de Insercción y Pensiones no contributivas).</w:t>
      </w:r>
    </w:p>
    <w:p>
      <w:pPr>
        <w:pStyle w:val="BodyText"/>
      </w:pPr>
      <w:r>
        <w:t xml:space="preserve">El estudio ha sido realizado con R, en una primera parte se relacionan las librerias que se han utilizado, la base de datos y la cartografía utilizada. En una segunda se describe la estimación realizada para el periodo 1997-2015 de la razón de mortalidad suavizada y la probabilidad de Excesos de riesgo para hombres y mujeres. La tercera se dedica al Indicador de Privación Multidimensional de Cantabria. En la cuarta se presentan los efectos de la privación para las causas de muerte más comunes en hombres y mujeres. Comentandose por ultimo los resultados obtenidos.</w:t>
      </w:r>
    </w:p>
    <w:bookmarkEnd w:id="20"/>
    <w:bookmarkStart w:id="25" w:name="Xbff8ba5574255aa3b8e00277db66fa2aa18a84d"/>
    <w:p>
      <w:pPr>
        <w:pStyle w:val="Heading1"/>
      </w:pPr>
      <w:r>
        <w:t xml:space="preserve">Instalación y carga de librerías, base de datos y Cartografía.</w:t>
      </w:r>
    </w:p>
    <w:bookmarkStart w:id="22" w:name="instalación-y-carga-de-librerías"/>
    <w:p>
      <w:pPr>
        <w:pStyle w:val="Heading2"/>
      </w:pPr>
      <w:r>
        <w:t xml:space="preserve">Instalación y carga de librerías</w:t>
      </w:r>
    </w:p>
    <w:p>
      <w:pPr>
        <w:pStyle w:val="FirstParagraph"/>
      </w:pPr>
      <w:r>
        <w:t xml:space="preserve">Para poder realizar los modelos de suavización, concretamente el modelo de Besag,York y Molli (modelo BYM), utilizaremos la librería de R</w:t>
      </w:r>
      <w:r>
        <w:t xml:space="preserve"> </w:t>
      </w:r>
      <w:r>
        <w:t xml:space="preserve">“</w:t>
      </w:r>
      <w:r>
        <w:t xml:space="preserve">INLA</w:t>
      </w:r>
      <w:r>
        <w:t xml:space="preserve">”</w:t>
      </w:r>
      <w:r>
        <w:t xml:space="preserve"> </w:t>
      </w:r>
      <w:r>
        <w:t xml:space="preserve">que debe instalarse mediante la sintaxis:</w:t>
      </w:r>
      <w:r>
        <w:t xml:space="preserve"> </w:t>
      </w:r>
      <w:r>
        <w:t xml:space="preserve">source(</w:t>
      </w:r>
      <w:r>
        <w:t xml:space="preserve">“</w:t>
      </w:r>
      <w:hyperlink r:id="rId21">
        <w:r>
          <w:rPr>
            <w:rStyle w:val="Hyperlink"/>
          </w:rPr>
          <w:t xml:space="preserve">http://www.math.ntnu.no/inla/givemeINLA.R</w:t>
        </w:r>
      </w:hyperlink>
      <w:r>
        <w:t xml:space="preserve">”</w:t>
      </w:r>
      <w:r>
        <w:t xml:space="preserve">). Una breve descripción de esta función se puede consultar en el Anexo I.</w:t>
      </w:r>
    </w:p>
    <w:p>
      <w:pPr>
        <w:pStyle w:val="BodyText"/>
      </w:pPr>
      <w:r>
        <w:t xml:space="preserve">Debido a que la librería INLA está en continuo desarrollo, se recomienda actualizarla cada vez que ejecutemos la sintaxis. La instrucción para actualizarla es la siguiente: inla.upgrade(testing=TRUE)</w:t>
      </w:r>
    </w:p>
    <w:p>
      <w:pPr>
        <w:pStyle w:val="SourceCode"/>
      </w:pPr>
      <w:r>
        <w:rPr>
          <w:rStyle w:val="CommentTok"/>
        </w:rPr>
        <w:t xml:space="preserve">#install.packages(c("pixmap", "mvtnorm", "numDeriv", "fields","R.utils,"maptools", "spdep", "RColorBrewer", "Hmisc", "gplots")</w:t>
      </w:r>
      <w:r>
        <w:br/>
      </w:r>
      <w:r>
        <w:rPr>
          <w:rStyle w:val="CommentTok"/>
        </w:rPr>
        <w:t xml:space="preserve">#install.packages("INLA",repos=c(getOption("repos"),INLA="https://inla.r-inla-download.org/R/stable"), dep=TRUE)</w:t>
      </w:r>
      <w:r>
        <w:br/>
      </w:r>
      <w:r>
        <w:rPr>
          <w:rStyle w:val="FunctionTok"/>
        </w:rPr>
        <w:t xml:space="preserve">library</w:t>
      </w:r>
      <w:r>
        <w:rPr>
          <w:rStyle w:val="NormalTok"/>
        </w:rPr>
        <w:t xml:space="preserve">(INLA)</w:t>
      </w:r>
    </w:p>
    <w:p>
      <w:pPr>
        <w:pStyle w:val="SourceCode"/>
      </w:pPr>
      <w:r>
        <w:rPr>
          <w:rStyle w:val="VerbatimChar"/>
        </w:rPr>
        <w:t xml:space="preserve">## Loading required package: Matrix</w:t>
      </w:r>
    </w:p>
    <w:p>
      <w:pPr>
        <w:pStyle w:val="SourceCode"/>
      </w:pPr>
      <w:r>
        <w:rPr>
          <w:rStyle w:val="VerbatimChar"/>
        </w:rPr>
        <w:t xml:space="preserve">## Loading required package: foreach</w:t>
      </w:r>
    </w:p>
    <w:p>
      <w:pPr>
        <w:pStyle w:val="SourceCode"/>
      </w:pPr>
      <w:r>
        <w:rPr>
          <w:rStyle w:val="VerbatimChar"/>
        </w:rPr>
        <w:t xml:space="preserve">## Loading required package: parallel</w:t>
      </w:r>
    </w:p>
    <w:p>
      <w:pPr>
        <w:pStyle w:val="SourceCode"/>
      </w:pPr>
      <w:r>
        <w:rPr>
          <w:rStyle w:val="VerbatimChar"/>
        </w:rPr>
        <w:t xml:space="preserve">## Loading required package: sp</w:t>
      </w:r>
    </w:p>
    <w:p>
      <w:pPr>
        <w:pStyle w:val="SourceCode"/>
      </w:pPr>
      <w:r>
        <w:rPr>
          <w:rStyle w:val="VerbatimChar"/>
        </w:rPr>
        <w:t xml:space="preserve">## This is INLA_21.02.23 built 2021-04-19 12:29:09 UTC.</w:t>
      </w:r>
      <w:r>
        <w:br/>
      </w:r>
      <w:r>
        <w:rPr>
          <w:rStyle w:val="VerbatimChar"/>
        </w:rPr>
        <w:t xml:space="preserve">##  - See www.r-inla.org/contact-us for how to get help.</w:t>
      </w:r>
      <w:r>
        <w:br/>
      </w:r>
      <w:r>
        <w:rPr>
          <w:rStyle w:val="VerbatimChar"/>
        </w:rPr>
        <w:t xml:space="preserve">##  - To enable PARDISO sparse library; see inla.pardiso()</w:t>
      </w:r>
      <w:r>
        <w:br/>
      </w:r>
      <w:r>
        <w:rPr>
          <w:rStyle w:val="VerbatimChar"/>
        </w:rPr>
        <w:t xml:space="preserve">##  - Save 273.9Mb of storage running 'inla.prune()'</w:t>
      </w:r>
    </w:p>
    <w:p>
      <w:pPr>
        <w:pStyle w:val="SourceCode"/>
      </w:pPr>
      <w:r>
        <w:rPr>
          <w:rStyle w:val="FunctionTok"/>
        </w:rPr>
        <w:t xml:space="preserve">library</w:t>
      </w:r>
      <w:r>
        <w:rPr>
          <w:rStyle w:val="NormalTok"/>
        </w:rPr>
        <w:t xml:space="preserve">(maptools)</w:t>
      </w:r>
    </w:p>
    <w:p>
      <w:pPr>
        <w:pStyle w:val="SourceCode"/>
      </w:pPr>
      <w:r>
        <w:rPr>
          <w:rStyle w:val="VerbatimChar"/>
        </w:rPr>
        <w:t xml:space="preserve">## Checking rgeos availability: TRUE</w:t>
      </w:r>
    </w:p>
    <w:p>
      <w:pPr>
        <w:pStyle w:val="SourceCode"/>
      </w:pPr>
      <w:r>
        <w:rPr>
          <w:rStyle w:val="FunctionTok"/>
        </w:rPr>
        <w:t xml:space="preserve">library</w:t>
      </w:r>
      <w:r>
        <w:rPr>
          <w:rStyle w:val="NormalTok"/>
        </w:rPr>
        <w:t xml:space="preserve">(spdep)</w:t>
      </w:r>
    </w:p>
    <w:p>
      <w:pPr>
        <w:pStyle w:val="SourceCode"/>
      </w:pPr>
      <w:r>
        <w:rPr>
          <w:rStyle w:val="VerbatimChar"/>
        </w:rPr>
        <w:t xml:space="preserve">## Loading required package: spData</w:t>
      </w:r>
    </w:p>
    <w:p>
      <w:pPr>
        <w:pStyle w:val="SourceCode"/>
      </w:pPr>
      <w:r>
        <w:rPr>
          <w:rStyle w:val="VerbatimChar"/>
        </w:rPr>
        <w:t xml:space="preserve">## To access larger datasets in this package, install the spDataLarge</w:t>
      </w:r>
      <w:r>
        <w:br/>
      </w:r>
      <w:r>
        <w:rPr>
          <w:rStyle w:val="VerbatimChar"/>
        </w:rPr>
        <w:t xml:space="preserve">## package with: `install.packages('spDataLarge',</w:t>
      </w:r>
      <w:r>
        <w:br/>
      </w:r>
      <w:r>
        <w:rPr>
          <w:rStyle w:val="VerbatimChar"/>
        </w:rPr>
        <w:t xml:space="preserve">## repos='https://nowosad.github.io/drat/', type='source')`</w:t>
      </w:r>
    </w:p>
    <w:p>
      <w:pPr>
        <w:pStyle w:val="SourceCode"/>
      </w:pPr>
      <w:r>
        <w:rPr>
          <w:rStyle w:val="VerbatimChar"/>
        </w:rPr>
        <w:t xml:space="preserve">## Loading required package: sf</w:t>
      </w:r>
    </w:p>
    <w:p>
      <w:pPr>
        <w:pStyle w:val="SourceCode"/>
      </w:pPr>
      <w:r>
        <w:rPr>
          <w:rStyle w:val="VerbatimChar"/>
        </w:rPr>
        <w:t xml:space="preserve">## Linking to GEOS 3.8.0, GDAL 3.0.4, PROJ 6.3.1</w:t>
      </w:r>
    </w:p>
    <w:p>
      <w:pPr>
        <w:pStyle w:val="SourceCode"/>
      </w:pPr>
      <w:r>
        <w:rPr>
          <w:rStyle w:val="FunctionTok"/>
        </w:rPr>
        <w:t xml:space="preserve">library</w:t>
      </w:r>
      <w:r>
        <w:rPr>
          <w:rStyle w:val="NormalTok"/>
        </w:rPr>
        <w:t xml:space="preserve">(RColorBrewer)</w:t>
      </w:r>
      <w:r>
        <w:br/>
      </w:r>
      <w:r>
        <w:rPr>
          <w:rStyle w:val="FunctionTok"/>
        </w:rPr>
        <w:t xml:space="preserve">library</w:t>
      </w:r>
      <w:r>
        <w:rPr>
          <w:rStyle w:val="NormalTok"/>
        </w:rPr>
        <w:t xml:space="preserve">(Hmisc)</w:t>
      </w:r>
    </w:p>
    <w:p>
      <w:pPr>
        <w:pStyle w:val="SourceCode"/>
      </w:pPr>
      <w:r>
        <w:rPr>
          <w:rStyle w:val="VerbatimChar"/>
        </w:rPr>
        <w:t xml:space="preserve">## Loading required package: lattice</w:t>
      </w:r>
    </w:p>
    <w:p>
      <w:pPr>
        <w:pStyle w:val="SourceCode"/>
      </w:pPr>
      <w:r>
        <w:rPr>
          <w:rStyle w:val="VerbatimChar"/>
        </w:rPr>
        <w:t xml:space="preserve">## Loading required package: survival</w:t>
      </w:r>
    </w:p>
    <w:p>
      <w:pPr>
        <w:pStyle w:val="SourceCode"/>
      </w:pPr>
      <w:r>
        <w:rPr>
          <w:rStyle w:val="VerbatimChar"/>
        </w:rPr>
        <w:t xml:space="preserve">## Loading required package: Formula</w:t>
      </w:r>
    </w:p>
    <w:p>
      <w:pPr>
        <w:pStyle w:val="SourceCode"/>
      </w:pPr>
      <w:r>
        <w:rPr>
          <w:rStyle w:val="VerbatimChar"/>
        </w:rPr>
        <w:t xml:space="preserve">## Loading required package: ggplot2</w:t>
      </w:r>
    </w:p>
    <w:p>
      <w:pPr>
        <w:pStyle w:val="SourceCode"/>
      </w:pPr>
      <w:r>
        <w:rPr>
          <w:rStyle w:val="VerbatimChar"/>
        </w:rPr>
        <w:t xml:space="preserve">## </w:t>
      </w:r>
      <w:r>
        <w:br/>
      </w:r>
      <w:r>
        <w:rPr>
          <w:rStyle w:val="VerbatimChar"/>
        </w:rPr>
        <w:t xml:space="preserve">## Attaching package: 'Hmisc'</w:t>
      </w:r>
    </w:p>
    <w:p>
      <w:pPr>
        <w:pStyle w:val="SourceCode"/>
      </w:pPr>
      <w:r>
        <w:rPr>
          <w:rStyle w:val="VerbatimChar"/>
        </w:rPr>
        <w:t xml:space="preserve">## The following object is masked from 'package:maptools':</w:t>
      </w:r>
      <w:r>
        <w:br/>
      </w:r>
      <w:r>
        <w:rPr>
          <w:rStyle w:val="VerbatimChar"/>
        </w:rPr>
        <w:t xml:space="preserve">## </w:t>
      </w:r>
      <w:r>
        <w:br/>
      </w:r>
      <w:r>
        <w:rPr>
          <w:rStyle w:val="VerbatimChar"/>
        </w:rPr>
        <w:t xml:space="preserve">##     label</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format.pval, units</w:t>
      </w:r>
    </w:p>
    <w:p>
      <w:pPr>
        <w:pStyle w:val="SourceCode"/>
      </w:pPr>
      <w:r>
        <w:rPr>
          <w:rStyle w:val="FunctionTok"/>
        </w:rPr>
        <w:t xml:space="preserve">library</w:t>
      </w:r>
      <w:r>
        <w:rPr>
          <w:rStyle w:val="NormalTok"/>
        </w:rPr>
        <w:t xml:space="preserve">(gplots)</w:t>
      </w:r>
    </w:p>
    <w:p>
      <w:pPr>
        <w:pStyle w:val="SourceCode"/>
      </w:pPr>
      <w:r>
        <w:rPr>
          <w:rStyle w:val="VerbatimChar"/>
        </w:rPr>
        <w:t xml:space="preserve">## Registered S3 method overwritten by 'gplots':</w:t>
      </w:r>
      <w:r>
        <w:br/>
      </w:r>
      <w:r>
        <w:rPr>
          <w:rStyle w:val="VerbatimChar"/>
        </w:rPr>
        <w:t xml:space="preserve">##   method         from </w:t>
      </w:r>
      <w:r>
        <w:br/>
      </w:r>
      <w:r>
        <w:rPr>
          <w:rStyle w:val="VerbatimChar"/>
        </w:rPr>
        <w:t xml:space="preserve">##   reorder.factor gdata</w:t>
      </w:r>
    </w:p>
    <w:p>
      <w:pPr>
        <w:pStyle w:val="SourceCode"/>
      </w:pPr>
      <w:r>
        <w:rPr>
          <w:rStyle w:val="VerbatimChar"/>
        </w:rPr>
        <w:t xml:space="preserve">## </w:t>
      </w:r>
      <w:r>
        <w:br/>
      </w:r>
      <w:r>
        <w:rPr>
          <w:rStyle w:val="VerbatimChar"/>
        </w:rPr>
        <w:t xml:space="preserve">## Attaching package: 'gplots'</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lowess</w:t>
      </w:r>
    </w:p>
    <w:p>
      <w:pPr>
        <w:pStyle w:val="SourceCode"/>
      </w:pPr>
      <w:r>
        <w:rPr>
          <w:rStyle w:val="FunctionTok"/>
        </w:rPr>
        <w:t xml:space="preserve">library</w:t>
      </w:r>
      <w:r>
        <w:rPr>
          <w:rStyle w:val="NormalTok"/>
        </w:rPr>
        <w:t xml:space="preserve">(DT)</w:t>
      </w:r>
    </w:p>
    <w:bookmarkEnd w:id="22"/>
    <w:bookmarkStart w:id="24" w:name="lectura-de-los-datos-y-la-cartografía"/>
    <w:p>
      <w:pPr>
        <w:pStyle w:val="Heading2"/>
      </w:pPr>
      <w:r>
        <w:t xml:space="preserve">Lectura de los datos y la cartografía</w:t>
      </w:r>
    </w:p>
    <w:p>
      <w:pPr>
        <w:pStyle w:val="FirstParagraph"/>
      </w:pPr>
      <w:r>
        <w:t xml:space="preserve">En el siguiente paso abriremos los objetos de R que contienen los valores observados,los valores esperados. El metodo seguido para obtener los valores observados y esperados, se describe en el Anexo II.</w:t>
      </w:r>
    </w:p>
    <w:p>
      <w:pPr>
        <w:pStyle w:val="BodyText"/>
      </w:pPr>
      <w:r>
        <w:t xml:space="preserve">Además se importará la cartografía necesaria para calcular la matriz de vecindades y representar gráficamente los mapas.</w:t>
      </w:r>
    </w:p>
    <w:p>
      <w:pPr>
        <w:pStyle w:val="BodyText"/>
      </w:pPr>
      <w:r>
        <w:t xml:space="preserve">Leeremos la cartografía y la asignaremos al objeto Carto mediante la siguiente sintaxis:</w:t>
      </w:r>
    </w:p>
    <w:p>
      <w:pPr>
        <w:pStyle w:val="SourceCode"/>
      </w:pPr>
      <w:r>
        <w:rPr>
          <w:rStyle w:val="NormalTok"/>
        </w:rPr>
        <w:t xml:space="preserve">Carto</w:t>
      </w:r>
      <w:r>
        <w:rPr>
          <w:rStyle w:val="OtherTok"/>
        </w:rPr>
        <w:t xml:space="preserve">&lt;-</w:t>
      </w:r>
      <w:r>
        <w:rPr>
          <w:rStyle w:val="NormalTok"/>
        </w:rPr>
        <w:t xml:space="preserve">rgdal</w:t>
      </w:r>
      <w:r>
        <w:rPr>
          <w:rStyle w:val="SpecialCharTok"/>
        </w:rPr>
        <w:t xml:space="preserve">::</w:t>
      </w:r>
      <w:r>
        <w:rPr>
          <w:rStyle w:val="FunctionTok"/>
        </w:rPr>
        <w:t xml:space="preserve">readOGR</w:t>
      </w:r>
      <w:r>
        <w:rPr>
          <w:rStyle w:val="NormalTok"/>
        </w:rPr>
        <w:t xml:space="preserve">(</w:t>
      </w:r>
      <w:r>
        <w:rPr>
          <w:rStyle w:val="StringTok"/>
        </w:rPr>
        <w:t xml:space="preserve">"cartografia_santander.shp"</w:t>
      </w:r>
      <w:r>
        <w:rPr>
          <w:rStyle w:val="NormalTok"/>
        </w:rPr>
        <w:t xml:space="preserve">)</w:t>
      </w:r>
    </w:p>
    <w:p>
      <w:pPr>
        <w:pStyle w:val="SourceCode"/>
      </w:pPr>
      <w:r>
        <w:rPr>
          <w:rStyle w:val="VerbatimChar"/>
        </w:rPr>
        <w:t xml:space="preserve">## Warning in ogrInfo(dsn = dsn, layer = layer, encoding = encoding, use_iconv =</w:t>
      </w:r>
      <w:r>
        <w:br/>
      </w:r>
      <w:r>
        <w:rPr>
          <w:rStyle w:val="VerbatimChar"/>
        </w:rPr>
        <w:t xml:space="preserve">## use_iconv, : ogrInfo: /cloud/project/cartografia_santander.dbf not found</w:t>
      </w:r>
    </w:p>
    <w:p>
      <w:pPr>
        <w:pStyle w:val="SourceCode"/>
      </w:pPr>
      <w:r>
        <w:rPr>
          <w:rStyle w:val="VerbatimChar"/>
        </w:rPr>
        <w:t xml:space="preserve">## OGR data source with driver: ESRI Shapefile </w:t>
      </w:r>
      <w:r>
        <w:br/>
      </w:r>
      <w:r>
        <w:rPr>
          <w:rStyle w:val="VerbatimChar"/>
        </w:rPr>
        <w:t xml:space="preserve">## Source: "/cloud/project/cartografia_santander.shp", layer: "cartografia_santander"</w:t>
      </w:r>
      <w:r>
        <w:br/>
      </w:r>
      <w:r>
        <w:rPr>
          <w:rStyle w:val="VerbatimChar"/>
        </w:rPr>
        <w:t xml:space="preserve">## with 124 features</w:t>
      </w:r>
      <w:r>
        <w:br/>
      </w:r>
      <w:r>
        <w:rPr>
          <w:rStyle w:val="VerbatimChar"/>
        </w:rPr>
        <w:t xml:space="preserve">## It has 0 fields</w:t>
      </w:r>
    </w:p>
    <w:p>
      <w:pPr>
        <w:pStyle w:val="FirstParagraph"/>
      </w:pPr>
      <w:r>
        <w:t xml:space="preserve">Dibujamos la cartografía con sus ejes de coordenadas mediante el siguiente comando:</w:t>
      </w:r>
    </w:p>
    <w:p>
      <w:pPr>
        <w:pStyle w:val="SourceCode"/>
      </w:pPr>
      <w:r>
        <w:rPr>
          <w:rStyle w:val="FunctionTok"/>
        </w:rPr>
        <w:t xml:space="preserve">plot</w:t>
      </w:r>
      <w:r>
        <w:rPr>
          <w:rStyle w:val="NormalTok"/>
        </w:rPr>
        <w:t xml:space="preserve">(Carto, </w:t>
      </w:r>
      <w:r>
        <w:rPr>
          <w:rStyle w:val="AttributeTok"/>
        </w:rPr>
        <w:t xml:space="preserve">axes=</w:t>
      </w:r>
      <w:r>
        <w:rPr>
          <w:rStyle w:val="NormalTok"/>
        </w:rPr>
        <w:t xml:space="preserve">T)</w:t>
      </w:r>
    </w:p>
    <w:p>
      <w:pPr>
        <w:pStyle w:val="FirstParagraph"/>
      </w:pPr>
      <w:r>
        <w:drawing>
          <wp:inline>
            <wp:extent cx="4620126" cy="3696101"/>
            <wp:effectExtent b="0" l="0" r="0" t="0"/>
            <wp:docPr descr="" title="" id="1" name="Picture"/>
            <a:graphic>
              <a:graphicData uri="http://schemas.openxmlformats.org/drawingml/2006/picture">
                <pic:pic>
                  <pic:nvPicPr>
                    <pic:cNvPr descr="articulo_proyecto_medea_RMS_final_4_files/figure-docx/mapas-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End w:id="25"/>
    <w:bookmarkStart w:id="26" w:name="construcción-de-la-matriz-de-vecindad"/>
    <w:p>
      <w:pPr>
        <w:pStyle w:val="Heading1"/>
      </w:pPr>
      <w:r>
        <w:t xml:space="preserve">Construcción de la matriz de vecindad</w:t>
      </w:r>
    </w:p>
    <w:p>
      <w:pPr>
        <w:pStyle w:val="FirstParagraph"/>
      </w:pPr>
      <w:r>
        <w:t xml:space="preserve">Para continuar con el análisis, debemos tener un archivo que contenga toda la información de las vecindades entre áreas. Una área se considerará vecina de otra si comparte frontera. Este archivo se ha facilitado con los datos y es el que tiene extensión</w:t>
      </w:r>
      <w:r>
        <w:t xml:space="preserve"> </w:t>
      </w:r>
      <w:r>
        <w:t xml:space="preserve">“</w:t>
      </w:r>
      <w:r>
        <w:t xml:space="preserve">.inla</w:t>
      </w:r>
      <w:r>
        <w:t xml:space="preserve">”</w:t>
      </w:r>
      <w:r>
        <w:t xml:space="preserve">.</w:t>
      </w:r>
    </w:p>
    <w:p>
      <w:pPr>
        <w:pStyle w:val="BodyText"/>
      </w:pPr>
      <w:r>
        <w:t xml:space="preserve">Para obtener la información de las vecindades utilizaremos la función poly2nb de la librería maptools.</w:t>
      </w:r>
    </w:p>
    <w:p>
      <w:pPr>
        <w:pStyle w:val="SourceCode"/>
      </w:pPr>
      <w:r>
        <w:rPr>
          <w:rStyle w:val="NormalTok"/>
        </w:rPr>
        <w:t xml:space="preserve">x.nb</w:t>
      </w:r>
      <w:r>
        <w:rPr>
          <w:rStyle w:val="OtherTok"/>
        </w:rPr>
        <w:t xml:space="preserve">&lt;-</w:t>
      </w:r>
      <w:r>
        <w:rPr>
          <w:rStyle w:val="FunctionTok"/>
        </w:rPr>
        <w:t xml:space="preserve">poly2nb</w:t>
      </w:r>
      <w:r>
        <w:rPr>
          <w:rStyle w:val="NormalTok"/>
        </w:rPr>
        <w:t xml:space="preserve">(Carto)</w:t>
      </w:r>
      <w:r>
        <w:br/>
      </w:r>
      <w:r>
        <w:rPr>
          <w:rStyle w:val="FunctionTok"/>
        </w:rPr>
        <w:t xml:space="preserve">head</w:t>
      </w:r>
      <w:r>
        <w:rPr>
          <w:rStyle w:val="NormalTok"/>
        </w:rPr>
        <w:t xml:space="preserve">(x.nb)</w:t>
      </w:r>
    </w:p>
    <w:p>
      <w:pPr>
        <w:pStyle w:val="SourceCode"/>
      </w:pPr>
      <w:r>
        <w:rPr>
          <w:rStyle w:val="VerbatimChar"/>
        </w:rPr>
        <w:t xml:space="preserve">## [[1]]</w:t>
      </w:r>
      <w:r>
        <w:br/>
      </w:r>
      <w:r>
        <w:rPr>
          <w:rStyle w:val="VerbatimChar"/>
        </w:rPr>
        <w:t xml:space="preserve">## [1]  2  4  5  6  7  8  9 36</w:t>
      </w:r>
      <w:r>
        <w:br/>
      </w:r>
      <w:r>
        <w:rPr>
          <w:rStyle w:val="VerbatimChar"/>
        </w:rPr>
        <w:t xml:space="preserve">## </w:t>
      </w:r>
      <w:r>
        <w:br/>
      </w:r>
      <w:r>
        <w:rPr>
          <w:rStyle w:val="VerbatimChar"/>
        </w:rPr>
        <w:t xml:space="preserve">## [[2]]</w:t>
      </w:r>
      <w:r>
        <w:br/>
      </w:r>
      <w:r>
        <w:rPr>
          <w:rStyle w:val="VerbatimChar"/>
        </w:rPr>
        <w:t xml:space="preserve">## [1]  1  3  4  9 51 64</w:t>
      </w:r>
      <w:r>
        <w:br/>
      </w:r>
      <w:r>
        <w:rPr>
          <w:rStyle w:val="VerbatimChar"/>
        </w:rPr>
        <w:t xml:space="preserve">## </w:t>
      </w:r>
      <w:r>
        <w:br/>
      </w:r>
      <w:r>
        <w:rPr>
          <w:rStyle w:val="VerbatimChar"/>
        </w:rPr>
        <w:t xml:space="preserve">## [[3]]</w:t>
      </w:r>
      <w:r>
        <w:br/>
      </w:r>
      <w:r>
        <w:rPr>
          <w:rStyle w:val="VerbatimChar"/>
        </w:rPr>
        <w:t xml:space="preserve">## [1]  2  4 39 41 51</w:t>
      </w:r>
      <w:r>
        <w:br/>
      </w:r>
      <w:r>
        <w:rPr>
          <w:rStyle w:val="VerbatimChar"/>
        </w:rPr>
        <w:t xml:space="preserve">## </w:t>
      </w:r>
      <w:r>
        <w:br/>
      </w:r>
      <w:r>
        <w:rPr>
          <w:rStyle w:val="VerbatimChar"/>
        </w:rPr>
        <w:t xml:space="preserve">## [[4]]</w:t>
      </w:r>
      <w:r>
        <w:br/>
      </w:r>
      <w:r>
        <w:rPr>
          <w:rStyle w:val="VerbatimChar"/>
        </w:rPr>
        <w:t xml:space="preserve">## [1]  1  2  3  5 39</w:t>
      </w:r>
      <w:r>
        <w:br/>
      </w:r>
      <w:r>
        <w:rPr>
          <w:rStyle w:val="VerbatimChar"/>
        </w:rPr>
        <w:t xml:space="preserve">## </w:t>
      </w:r>
      <w:r>
        <w:br/>
      </w:r>
      <w:r>
        <w:rPr>
          <w:rStyle w:val="VerbatimChar"/>
        </w:rPr>
        <w:t xml:space="preserve">## [[5]]</w:t>
      </w:r>
      <w:r>
        <w:br/>
      </w:r>
      <w:r>
        <w:rPr>
          <w:rStyle w:val="VerbatimChar"/>
        </w:rPr>
        <w:t xml:space="preserve">## [1]  1  4 36 37 39</w:t>
      </w:r>
      <w:r>
        <w:br/>
      </w:r>
      <w:r>
        <w:rPr>
          <w:rStyle w:val="VerbatimChar"/>
        </w:rPr>
        <w:t xml:space="preserve">## </w:t>
      </w:r>
      <w:r>
        <w:br/>
      </w:r>
      <w:r>
        <w:rPr>
          <w:rStyle w:val="VerbatimChar"/>
        </w:rPr>
        <w:t xml:space="preserve">## [[6]]</w:t>
      </w:r>
      <w:r>
        <w:br/>
      </w:r>
      <w:r>
        <w:rPr>
          <w:rStyle w:val="VerbatimChar"/>
        </w:rPr>
        <w:t xml:space="preserve">## [1]  1  7 12 30 31 36</w:t>
      </w:r>
    </w:p>
    <w:p>
      <w:pPr>
        <w:pStyle w:val="FirstParagraph"/>
      </w:pPr>
      <w:r>
        <w:t xml:space="preserve">crearemos la función nb2inla (autor: Carlos Vergara-Hernandez) que permitirá crear un archivo con la información de las vecindades en el formato que precisa la librería INLA.</w:t>
      </w:r>
    </w:p>
    <w:p>
      <w:pPr>
        <w:pStyle w:val="SourceCode"/>
      </w:pPr>
      <w:r>
        <w:rPr>
          <w:rStyle w:val="NormalTok"/>
        </w:rPr>
        <w:t xml:space="preserve">nb2inla </w:t>
      </w:r>
      <w:r>
        <w:rPr>
          <w:rStyle w:val="OtherTok"/>
        </w:rPr>
        <w:t xml:space="preserve">&lt;-</w:t>
      </w:r>
      <w:r>
        <w:rPr>
          <w:rStyle w:val="ControlFlowTok"/>
        </w:rPr>
        <w:t xml:space="preserve">function</w:t>
      </w:r>
      <w:r>
        <w:rPr>
          <w:rStyle w:val="NormalTok"/>
        </w:rPr>
        <w:t xml:space="preserve">(file, nb)</w:t>
      </w:r>
      <w:r>
        <w:br/>
      </w:r>
      <w:r>
        <w:rPr>
          <w:rStyle w:val="NormalTok"/>
        </w:rPr>
        <w:t xml:space="preserve">{</w:t>
      </w:r>
      <w:r>
        <w:br/>
      </w:r>
      <w:r>
        <w:rPr>
          <w:rStyle w:val="NormalTok"/>
        </w:rPr>
        <w:t xml:space="preserve">n</w:t>
      </w:r>
      <w:r>
        <w:rPr>
          <w:rStyle w:val="OtherTok"/>
        </w:rPr>
        <w:t xml:space="preserve">&lt;-</w:t>
      </w:r>
      <w:r>
        <w:rPr>
          <w:rStyle w:val="FunctionTok"/>
        </w:rPr>
        <w:t xml:space="preserve">length</w:t>
      </w:r>
      <w:r>
        <w:rPr>
          <w:rStyle w:val="NormalTok"/>
        </w:rPr>
        <w:t xml:space="preserve">(nb)</w:t>
      </w:r>
      <w:r>
        <w:br/>
      </w:r>
      <w:r>
        <w:rPr>
          <w:rStyle w:val="ControlFlowTok"/>
        </w:rPr>
        <w:t xml:space="preserve">if</w:t>
      </w:r>
      <w:r>
        <w:rPr>
          <w:rStyle w:val="NormalTok"/>
        </w:rPr>
        <w:t xml:space="preserve">(</w:t>
      </w:r>
      <w:r>
        <w:rPr>
          <w:rStyle w:val="SpecialCharTok"/>
        </w:rPr>
        <w:t xml:space="preserve">!</w:t>
      </w:r>
      <w:r>
        <w:rPr>
          <w:rStyle w:val="FunctionTok"/>
        </w:rPr>
        <w:t xml:space="preserve">file.create</w:t>
      </w:r>
      <w:r>
        <w:rPr>
          <w:rStyle w:val="NormalTok"/>
        </w:rPr>
        <w:t xml:space="preserve">(file))</w:t>
      </w:r>
      <w:r>
        <w:br/>
      </w:r>
      <w:r>
        <w:rPr>
          <w:rStyle w:val="NormalTok"/>
        </w:rPr>
        <w:t xml:space="preserve">{</w:t>
      </w:r>
      <w:r>
        <w:br/>
      </w:r>
      <w:r>
        <w:rPr>
          <w:rStyle w:val="FunctionTok"/>
        </w:rPr>
        <w:t xml:space="preserve">stop</w:t>
      </w:r>
      <w:r>
        <w:rPr>
          <w:rStyle w:val="NormalTok"/>
        </w:rPr>
        <w:t xml:space="preserve">(</w:t>
      </w:r>
      <w:r>
        <w:rPr>
          <w:rStyle w:val="StringTok"/>
        </w:rPr>
        <w:t xml:space="preserve">"Cannot open file"</w:t>
      </w:r>
      <w:r>
        <w:rPr>
          <w:rStyle w:val="NormalTok"/>
        </w:rPr>
        <w:t xml:space="preserve">)</w:t>
      </w:r>
      <w:r>
        <w:br/>
      </w:r>
      <w:r>
        <w:rPr>
          <w:rStyle w:val="NormalTok"/>
        </w:rPr>
        <w:t xml:space="preserve">}</w:t>
      </w:r>
      <w:r>
        <w:br/>
      </w:r>
      <w:r>
        <w:rPr>
          <w:rStyle w:val="NormalTok"/>
        </w:rPr>
        <w:t xml:space="preserve">txt</w:t>
      </w:r>
      <w:r>
        <w:rPr>
          <w:rStyle w:val="OtherTok"/>
        </w:rPr>
        <w:t xml:space="preserve">&lt;-</w:t>
      </w:r>
      <w:r>
        <w:rPr>
          <w:rStyle w:val="FunctionTok"/>
        </w:rPr>
        <w:t xml:space="preserve">paste</w:t>
      </w:r>
      <w:r>
        <w:rPr>
          <w:rStyle w:val="NormalTok"/>
        </w:rPr>
        <w:t xml:space="preserve">(n, </w:t>
      </w:r>
      <w:r>
        <w:rPr>
          <w:rStyle w:val="StringTok"/>
        </w:rPr>
        <w:t xml:space="preserve">"</w:t>
      </w:r>
      <w:r>
        <w:rPr>
          <w:rStyle w:val="SpecialCharTok"/>
        </w:rPr>
        <w:t xml:space="preserve">\n</w:t>
      </w:r>
      <w:r>
        <w:rPr>
          <w:rStyle w:val="StringTok"/>
        </w:rPr>
        <w:t xml:space="preserve">"</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cat</w:t>
      </w:r>
      <w:r>
        <w:rPr>
          <w:rStyle w:val="NormalTok"/>
        </w:rPr>
        <w:t xml:space="preserve">(txt, </w:t>
      </w:r>
      <w:r>
        <w:rPr>
          <w:rStyle w:val="AttributeTok"/>
        </w:rPr>
        <w:t xml:space="preserve">file=</w:t>
      </w:r>
      <w:r>
        <w:rPr>
          <w:rStyle w:val="NormalTok"/>
        </w:rPr>
        <w:t xml:space="preserve">file, </w:t>
      </w:r>
      <w:r>
        <w:rPr>
          <w:rStyle w:val="AttributeTok"/>
        </w:rPr>
        <w:t xml:space="preserve">append =</w:t>
      </w:r>
      <w:r>
        <w:rPr>
          <w:rStyle w:val="NormalTok"/>
        </w:rPr>
        <w:t xml:space="preserve"> </w:t>
      </w:r>
      <w:r>
        <w:rPr>
          <w:rStyle w:val="ConstantTok"/>
        </w:rPr>
        <w:t xml:space="preserve">TRUE</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(nb))</w:t>
      </w:r>
      <w:r>
        <w:br/>
      </w:r>
      <w:r>
        <w:rPr>
          <w:rStyle w:val="NormalTok"/>
        </w:rPr>
        <w:t xml:space="preserve">{</w:t>
      </w:r>
      <w:r>
        <w:br/>
      </w:r>
      <w:r>
        <w:rPr>
          <w:rStyle w:val="NormalTok"/>
        </w:rPr>
        <w:t xml:space="preserve">txt</w:t>
      </w:r>
      <w:r>
        <w:rPr>
          <w:rStyle w:val="OtherTok"/>
        </w:rPr>
        <w:t xml:space="preserve">&lt;-</w:t>
      </w:r>
      <w:r>
        <w:rPr>
          <w:rStyle w:val="FunctionTok"/>
        </w:rPr>
        <w:t xml:space="preserve">paste</w:t>
      </w:r>
      <w:r>
        <w:rPr>
          <w:rStyle w:val="NormalTok"/>
        </w:rPr>
        <w:t xml:space="preserve">(</w:t>
      </w:r>
      <w:r>
        <w:rPr>
          <w:rStyle w:val="FunctionTok"/>
        </w:rPr>
        <w:t xml:space="preserve">c</w:t>
      </w:r>
      <w:r>
        <w:rPr>
          <w:rStyle w:val="NormalTok"/>
        </w:rPr>
        <w:t xml:space="preserve">(i, </w:t>
      </w:r>
      <w:r>
        <w:rPr>
          <w:rStyle w:val="FunctionTok"/>
        </w:rPr>
        <w:t xml:space="preserve">length</w:t>
      </w:r>
      <w:r>
        <w:rPr>
          <w:rStyle w:val="NormalTok"/>
        </w:rPr>
        <w:t xml:space="preserve">(nb[[i]]), nb[[i]]), </w:t>
      </w:r>
      <w:r>
        <w:rPr>
          <w:rStyle w:val="AttributeTok"/>
        </w:rPr>
        <w:t xml:space="preserve">collapse=</w:t>
      </w:r>
      <w:r>
        <w:rPr>
          <w:rStyle w:val="StringTok"/>
        </w:rPr>
        <w:t xml:space="preserve">" "</w:t>
      </w:r>
      <w:r>
        <w:rPr>
          <w:rStyle w:val="NormalTok"/>
        </w:rPr>
        <w:t xml:space="preserve">)</w:t>
      </w:r>
      <w:r>
        <w:br/>
      </w:r>
      <w:r>
        <w:rPr>
          <w:rStyle w:val="NormalTok"/>
        </w:rPr>
        <w:t xml:space="preserve">txt</w:t>
      </w:r>
      <w:r>
        <w:rPr>
          <w:rStyle w:val="OtherTok"/>
        </w:rPr>
        <w:t xml:space="preserve">&lt;-</w:t>
      </w:r>
      <w:r>
        <w:rPr>
          <w:rStyle w:val="FunctionTok"/>
        </w:rPr>
        <w:t xml:space="preserve">paste</w:t>
      </w:r>
      <w:r>
        <w:rPr>
          <w:rStyle w:val="NormalTok"/>
        </w:rPr>
        <w:t xml:space="preserve">(txt, </w:t>
      </w:r>
      <w:r>
        <w:rPr>
          <w:rStyle w:val="StringTok"/>
        </w:rPr>
        <w:t xml:space="preserve">"</w:t>
      </w:r>
      <w:r>
        <w:rPr>
          <w:rStyle w:val="SpecialCharTok"/>
        </w:rPr>
        <w:t xml:space="preserve">\n</w:t>
      </w:r>
      <w:r>
        <w:rPr>
          <w:rStyle w:val="StringTok"/>
        </w:rPr>
        <w:t xml:space="preserve">"</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FunctionTok"/>
        </w:rPr>
        <w:t xml:space="preserve">cat</w:t>
      </w:r>
      <w:r>
        <w:rPr>
          <w:rStyle w:val="NormalTok"/>
        </w:rPr>
        <w:t xml:space="preserve">(txt, </w:t>
      </w:r>
      <w:r>
        <w:rPr>
          <w:rStyle w:val="AttributeTok"/>
        </w:rPr>
        <w:t xml:space="preserve">file=</w:t>
      </w:r>
      <w:r>
        <w:rPr>
          <w:rStyle w:val="NormalTok"/>
        </w:rPr>
        <w:t xml:space="preserve">file, </w:t>
      </w:r>
      <w:r>
        <w:rPr>
          <w:rStyle w:val="AttributeTok"/>
        </w:rPr>
        <w:t xml:space="preserve">append =</w:t>
      </w:r>
      <w:r>
        <w:rPr>
          <w:rStyle w:val="NormalTok"/>
        </w:rPr>
        <w:t xml:space="preserve"> </w:t>
      </w:r>
      <w:r>
        <w:rPr>
          <w:rStyle w:val="ConstantTok"/>
        </w:rPr>
        <w:t xml:space="preserve">TRUE</w:t>
      </w:r>
      <w:r>
        <w:rPr>
          <w:rStyle w:val="NormalTok"/>
        </w:rPr>
        <w:t xml:space="preserve">)</w:t>
      </w:r>
      <w:r>
        <w:br/>
      </w:r>
      <w:r>
        <w:rPr>
          <w:rStyle w:val="NormalTok"/>
        </w:rPr>
        <w:t xml:space="preserve">}</w:t>
      </w:r>
      <w:r>
        <w:br/>
      </w:r>
      <w:r>
        <w:rPr>
          <w:rStyle w:val="NormalTok"/>
        </w:rPr>
        <w:t xml:space="preserve">}</w:t>
      </w:r>
    </w:p>
    <w:p>
      <w:pPr>
        <w:pStyle w:val="FirstParagraph"/>
      </w:pPr>
      <w:r>
        <w:t xml:space="preserve">Finalmente, ejecutando la función nb2inla obtendremos el archivo Santander_nb.inla,con la información sobre las vecindades, que quedará guardado en el directorio de trabajo definido anteriormente</w:t>
      </w:r>
    </w:p>
    <w:p>
      <w:pPr>
        <w:pStyle w:val="SourceCode"/>
      </w:pPr>
      <w:r>
        <w:rPr>
          <w:rStyle w:val="FunctionTok"/>
        </w:rPr>
        <w:t xml:space="preserve">nb2inla</w:t>
      </w:r>
      <w:r>
        <w:rPr>
          <w:rStyle w:val="NormalTok"/>
        </w:rPr>
        <w:t xml:space="preserve">(</w:t>
      </w:r>
      <w:r>
        <w:rPr>
          <w:rStyle w:val="StringTok"/>
        </w:rPr>
        <w:t xml:space="preserve">"Santander_nb.inla"</w:t>
      </w:r>
      <w:r>
        <w:rPr>
          <w:rStyle w:val="NormalTok"/>
        </w:rPr>
        <w:t xml:space="preserve">, x.nb)</w:t>
      </w:r>
    </w:p>
    <w:bookmarkEnd w:id="26"/>
    <w:bookmarkStart w:id="35" w:name="Xa4ba29e61fb9eaf7617052f5358f657ac1fac5f"/>
    <w:p>
      <w:pPr>
        <w:pStyle w:val="Heading1"/>
      </w:pPr>
      <w:r>
        <w:t xml:space="preserve">Cálculo de las Razones de Mortalidad Estandarizadas suavizadas (RMEs) y Probabilidades de Exceso de Riesgo (PRP)</w:t>
      </w:r>
    </w:p>
    <w:p>
      <w:pPr>
        <w:pStyle w:val="FirstParagraph"/>
      </w:pPr>
      <w:r>
        <w:t xml:space="preserve">Se trata de un estudio ecológico a nivel de área pequeña, por ello ha sido necesario utilizar en el análisis una metodología que tenga en cuenta la estructura espacial de los datos. En concreto el propuesto por Besag,York y Mollie que incluye dos efectos aleatorios: uno recoge la dependencia espacial y el otro la sobredispersión desestructurada (Anexo I).</w:t>
      </w:r>
    </w:p>
    <w:p>
      <w:pPr>
        <w:pStyle w:val="BodyText"/>
      </w:pPr>
      <w:r>
        <w:t xml:space="preserve">Para describir la sintaxis hemos tomado como ejemplo</w:t>
      </w:r>
      <w:r>
        <w:t xml:space="preserve"> </w:t>
      </w:r>
      <w:r>
        <w:t xml:space="preserve">“</w:t>
      </w:r>
      <w:r>
        <w:t xml:space="preserve">todas las causas</w:t>
      </w:r>
      <w:r>
        <w:t xml:space="preserve">”</w:t>
      </w:r>
      <w:r>
        <w:t xml:space="preserve"> </w:t>
      </w:r>
      <w:r>
        <w:t xml:space="preserve">en la ciudad de Santander. Recordemos que el periodo de estudio es 1997-2015.</w:t>
      </w:r>
    </w:p>
    <w:bookmarkStart w:id="30" w:name="X9de4dc337994fb5d065930295a22fdb08adbf7b"/>
    <w:p>
      <w:pPr>
        <w:pStyle w:val="Heading2"/>
      </w:pPr>
      <w:r>
        <w:t xml:space="preserve">Análisis del periodo (Estandarización interna con tasas específicas de referencia media 1997-2015, Hombres)</w:t>
      </w:r>
    </w:p>
    <w:p>
      <w:pPr>
        <w:pStyle w:val="FirstParagraph"/>
      </w:pPr>
      <w:r>
        <w:t xml:space="preserve">Definimos la fórmula del modelo (formula1) y ejecutamos la función</w:t>
      </w:r>
      <w:r>
        <w:t xml:space="preserve"> </w:t>
      </w:r>
      <w:r>
        <w:t xml:space="preserve">“</w:t>
      </w:r>
      <w:r>
        <w:t xml:space="preserve">inla</w:t>
      </w:r>
      <w:r>
        <w:t xml:space="preserve">”</w:t>
      </w:r>
      <w:r>
        <w:t xml:space="preserve">. Así,obtendremos las RME suavizadas para cada sección censal. También obtendremos la probabilidad de que la RMEs sea mayor que 100 (probabilidad de exceso de riesgo) para cada sección censal.</w:t>
      </w:r>
    </w:p>
    <w:p>
      <w:pPr>
        <w:pStyle w:val="SourceCode"/>
      </w:pPr>
      <w:r>
        <w:rPr>
          <w:rStyle w:val="NormalTok"/>
        </w:rPr>
        <w:t xml:space="preserve">sdunif       </w:t>
      </w:r>
      <w:r>
        <w:rPr>
          <w:rStyle w:val="OtherTok"/>
        </w:rPr>
        <w:t xml:space="preserve">&lt;-</w:t>
      </w:r>
      <w:r>
        <w:rPr>
          <w:rStyle w:val="NormalTok"/>
        </w:rPr>
        <w:t xml:space="preserve"> </w:t>
      </w:r>
      <w:r>
        <w:rPr>
          <w:rStyle w:val="StringTok"/>
        </w:rPr>
        <w:t xml:space="preserve">"expression:</w:t>
      </w:r>
      <w:r>
        <w:br/>
      </w:r>
      <w:r>
        <w:rPr>
          <w:rStyle w:val="StringTok"/>
        </w:rPr>
        <w:t xml:space="preserve">  logdens=log(0.5)-log_precision/2;</w:t>
      </w:r>
      <w:r>
        <w:br/>
      </w:r>
      <w:r>
        <w:rPr>
          <w:rStyle w:val="StringTok"/>
        </w:rPr>
        <w:t xml:space="preserve">  return(logdens);"</w:t>
      </w:r>
      <w:r>
        <w:br/>
      </w:r>
      <w:r>
        <w:rPr>
          <w:rStyle w:val="NormalTok"/>
        </w:rPr>
        <w:t xml:space="preserve">formula1 </w:t>
      </w:r>
      <w:r>
        <w:rPr>
          <w:rStyle w:val="OtherTok"/>
        </w:rPr>
        <w:t xml:space="preserve">&lt;-</w:t>
      </w:r>
      <w:r>
        <w:rPr>
          <w:rStyle w:val="NormalTok"/>
        </w:rPr>
        <w:t xml:space="preserve"> O </w:t>
      </w:r>
      <w:r>
        <w:rPr>
          <w:rStyle w:val="SpecialCharTok"/>
        </w:rPr>
        <w:t xml:space="preserve">~</w:t>
      </w:r>
      <w:r>
        <w:rPr>
          <w:rStyle w:val="NormalTok"/>
        </w:rPr>
        <w:t xml:space="preserve"> </w:t>
      </w:r>
      <w:r>
        <w:rPr>
          <w:rStyle w:val="FunctionTok"/>
        </w:rPr>
        <w:t xml:space="preserve">f</w:t>
      </w:r>
      <w:r>
        <w:rPr>
          <w:rStyle w:val="NormalTok"/>
        </w:rPr>
        <w:t xml:space="preserve">(</w:t>
      </w:r>
      <w:r>
        <w:br/>
      </w:r>
      <w:r>
        <w:rPr>
          <w:rStyle w:val="NormalTok"/>
        </w:rPr>
        <w:t xml:space="preserve">  region.struct,</w:t>
      </w:r>
      <w:r>
        <w:br/>
      </w:r>
      <w:r>
        <w:rPr>
          <w:rStyle w:val="NormalTok"/>
        </w:rPr>
        <w:t xml:space="preserve">  </w:t>
      </w:r>
      <w:r>
        <w:rPr>
          <w:rStyle w:val="AttributeTok"/>
        </w:rPr>
        <w:t xml:space="preserve">model =</w:t>
      </w:r>
      <w:r>
        <w:rPr>
          <w:rStyle w:val="NormalTok"/>
        </w:rPr>
        <w:t xml:space="preserve"> </w:t>
      </w:r>
      <w:r>
        <w:rPr>
          <w:rStyle w:val="StringTok"/>
        </w:rPr>
        <w:t xml:space="preserve">"bym"</w:t>
      </w:r>
      <w:r>
        <w:rPr>
          <w:rStyle w:val="NormalTok"/>
        </w:rPr>
        <w:t xml:space="preserve">,</w:t>
      </w:r>
      <w:r>
        <w:br/>
      </w:r>
      <w:r>
        <w:rPr>
          <w:rStyle w:val="NormalTok"/>
        </w:rPr>
        <w:t xml:space="preserve">  </w:t>
      </w:r>
      <w:r>
        <w:rPr>
          <w:rStyle w:val="AttributeTok"/>
        </w:rPr>
        <w:t xml:space="preserve">graph =</w:t>
      </w:r>
      <w:r>
        <w:rPr>
          <w:rStyle w:val="NormalTok"/>
        </w:rPr>
        <w:t xml:space="preserve"> </w:t>
      </w:r>
      <w:r>
        <w:rPr>
          <w:rStyle w:val="StringTok"/>
        </w:rPr>
        <w:t xml:space="preserve">"Santander_nb.inla"</w:t>
      </w:r>
      <w:r>
        <w:rPr>
          <w:rStyle w:val="NormalTok"/>
        </w:rPr>
        <w:t xml:space="preserve">,</w:t>
      </w:r>
      <w:r>
        <w:br/>
      </w:r>
      <w:r>
        <w:rPr>
          <w:rStyle w:val="NormalTok"/>
        </w:rPr>
        <w:t xml:space="preserve">  </w:t>
      </w:r>
      <w:r>
        <w:rPr>
          <w:rStyle w:val="AttributeTok"/>
        </w:rPr>
        <w:t xml:space="preserve">hyper =</w:t>
      </w:r>
      <w:r>
        <w:rPr>
          <w:rStyle w:val="NormalTok"/>
        </w:rPr>
        <w:t xml:space="preserve"> </w:t>
      </w:r>
      <w:r>
        <w:rPr>
          <w:rStyle w:val="FunctionTok"/>
        </w:rPr>
        <w:t xml:space="preserve">list</w:t>
      </w:r>
      <w:r>
        <w:rPr>
          <w:rStyle w:val="NormalTok"/>
        </w:rPr>
        <w:t xml:space="preserve">(</w:t>
      </w:r>
      <w:r>
        <w:rPr>
          <w:rStyle w:val="AttributeTok"/>
        </w:rPr>
        <w:t xml:space="preserve">prec.unstruct =</w:t>
      </w:r>
      <w:r>
        <w:rPr>
          <w:rStyle w:val="NormalTok"/>
        </w:rPr>
        <w:t xml:space="preserve"> </w:t>
      </w:r>
      <w:r>
        <w:rPr>
          <w:rStyle w:val="FunctionTok"/>
        </w:rPr>
        <w:t xml:space="preserve">list</w:t>
      </w:r>
      <w:r>
        <w:rPr>
          <w:rStyle w:val="NormalTok"/>
        </w:rPr>
        <w:t xml:space="preserve">(</w:t>
      </w:r>
      <w:r>
        <w:rPr>
          <w:rStyle w:val="AttributeTok"/>
        </w:rPr>
        <w:t xml:space="preserve">prior =</w:t>
      </w:r>
      <w:r>
        <w:rPr>
          <w:rStyle w:val="NormalTok"/>
        </w:rPr>
        <w:t xml:space="preserve"> sdunif), </w:t>
      </w:r>
      <w:r>
        <w:rPr>
          <w:rStyle w:val="AttributeTok"/>
        </w:rPr>
        <w:t xml:space="preserve">prec.spatial =</w:t>
      </w:r>
      <w:r>
        <w:rPr>
          <w:rStyle w:val="NormalTok"/>
        </w:rPr>
        <w:t xml:space="preserve"> </w:t>
      </w:r>
      <w:r>
        <w:rPr>
          <w:rStyle w:val="FunctionTok"/>
        </w:rPr>
        <w:t xml:space="preserve">list</w:t>
      </w:r>
      <w:r>
        <w:rPr>
          <w:rStyle w:val="NormalTok"/>
        </w:rPr>
        <w:t xml:space="preserve">(</w:t>
      </w:r>
      <w:r>
        <w:rPr>
          <w:rStyle w:val="AttributeTok"/>
        </w:rPr>
        <w:t xml:space="preserve">prior =</w:t>
      </w:r>
      <w:r>
        <w:rPr>
          <w:rStyle w:val="NormalTok"/>
        </w:rPr>
        <w:t xml:space="preserve"> sdunif))</w:t>
      </w:r>
      <w:r>
        <w:br/>
      </w:r>
      <w:r>
        <w:rPr>
          <w:rStyle w:val="NormalTok"/>
        </w:rPr>
        <w:t xml:space="preserve">)</w:t>
      </w:r>
      <w:r>
        <w:br/>
      </w:r>
      <w:r>
        <w:rPr>
          <w:rStyle w:val="NormalTok"/>
        </w:rPr>
        <w:t xml:space="preserve">resultado.p1 </w:t>
      </w:r>
      <w:r>
        <w:rPr>
          <w:rStyle w:val="OtherTok"/>
        </w:rPr>
        <w:t xml:space="preserve">&lt;-</w:t>
      </w:r>
      <w:r>
        <w:rPr>
          <w:rStyle w:val="NormalTok"/>
        </w:rPr>
        <w:t xml:space="preserve"> </w:t>
      </w:r>
      <w:r>
        <w:rPr>
          <w:rStyle w:val="FunctionTok"/>
        </w:rPr>
        <w:t xml:space="preserve">inla</w:t>
      </w:r>
      <w:r>
        <w:rPr>
          <w:rStyle w:val="NormalTok"/>
        </w:rPr>
        <w:t xml:space="preserve">(formula1, </w:t>
      </w:r>
      <w:r>
        <w:rPr>
          <w:rStyle w:val="AttributeTok"/>
        </w:rPr>
        <w:t xml:space="preserve">family=</w:t>
      </w:r>
      <w:r>
        <w:rPr>
          <w:rStyle w:val="StringTok"/>
        </w:rPr>
        <w:t xml:space="preserve">"poisson"</w:t>
      </w:r>
      <w:r>
        <w:rPr>
          <w:rStyle w:val="NormalTok"/>
        </w:rPr>
        <w:t xml:space="preserve">, </w:t>
      </w:r>
      <w:r>
        <w:rPr>
          <w:rStyle w:val="AttributeTok"/>
        </w:rPr>
        <w:t xml:space="preserve">data=</w:t>
      </w:r>
      <w:r>
        <w:rPr>
          <w:rStyle w:val="NormalTok"/>
        </w:rPr>
        <w:t xml:space="preserve">Datos, </w:t>
      </w:r>
      <w:r>
        <w:rPr>
          <w:rStyle w:val="AttributeTok"/>
        </w:rPr>
        <w:t xml:space="preserve">E=</w:t>
      </w:r>
      <w:r>
        <w:rPr>
          <w:rStyle w:val="NormalTok"/>
        </w:rPr>
        <w:t xml:space="preserve">E,</w:t>
      </w:r>
      <w:r>
        <w:br/>
      </w:r>
      <w:r>
        <w:rPr>
          <w:rStyle w:val="AttributeTok"/>
        </w:rPr>
        <w:t xml:space="preserve">control.compute=</w:t>
      </w:r>
      <w:r>
        <w:rPr>
          <w:rStyle w:val="FunctionTok"/>
        </w:rPr>
        <w:t xml:space="preserve">list</w:t>
      </w:r>
      <w:r>
        <w:rPr>
          <w:rStyle w:val="NormalTok"/>
        </w:rPr>
        <w:t xml:space="preserve">(</w:t>
      </w:r>
      <w:r>
        <w:rPr>
          <w:rStyle w:val="AttributeTok"/>
        </w:rPr>
        <w:t xml:space="preserve">dic=</w:t>
      </w:r>
      <w:r>
        <w:rPr>
          <w:rStyle w:val="NormalTok"/>
        </w:rPr>
        <w:t xml:space="preserve">T, </w:t>
      </w:r>
      <w:r>
        <w:rPr>
          <w:rStyle w:val="AttributeTok"/>
        </w:rPr>
        <w:t xml:space="preserve">cpo=</w:t>
      </w:r>
      <w:r>
        <w:rPr>
          <w:rStyle w:val="ConstantTok"/>
        </w:rPr>
        <w:t xml:space="preserve">TRUE</w:t>
      </w:r>
      <w:r>
        <w:rPr>
          <w:rStyle w:val="NormalTok"/>
        </w:rPr>
        <w:t xml:space="preserve">),</w:t>
      </w:r>
      <w:r>
        <w:br/>
      </w:r>
      <w:r>
        <w:rPr>
          <w:rStyle w:val="AttributeTok"/>
        </w:rPr>
        <w:t xml:space="preserve">control.predictor=</w:t>
      </w:r>
      <w:r>
        <w:rPr>
          <w:rStyle w:val="FunctionTok"/>
        </w:rPr>
        <w:t xml:space="preserve">list</w:t>
      </w:r>
      <w:r>
        <w:rPr>
          <w:rStyle w:val="NormalTok"/>
        </w:rPr>
        <w:t xml:space="preserve">(</w:t>
      </w:r>
      <w:r>
        <w:rPr>
          <w:rStyle w:val="AttributeTok"/>
        </w:rPr>
        <w:t xml:space="preserve">compute=</w:t>
      </w:r>
      <w:r>
        <w:rPr>
          <w:rStyle w:val="ConstantTok"/>
        </w:rPr>
        <w:t xml:space="preserve">TRUE</w:t>
      </w:r>
      <w:r>
        <w:rPr>
          <w:rStyle w:val="NormalTok"/>
        </w:rPr>
        <w:t xml:space="preserve">, </w:t>
      </w:r>
      <w:r>
        <w:rPr>
          <w:rStyle w:val="AttributeTok"/>
        </w:rPr>
        <w:t xml:space="preserve">cdf=</w:t>
      </w:r>
      <w:r>
        <w:rPr>
          <w:rStyle w:val="FunctionTok"/>
        </w:rPr>
        <w:t xml:space="preserve">c</w:t>
      </w:r>
      <w:r>
        <w:rPr>
          <w:rStyle w:val="NormalTok"/>
        </w:rPr>
        <w:t xml:space="preserve">(</w:t>
      </w:r>
      <w:r>
        <w:rPr>
          <w:rStyle w:val="FunctionTok"/>
        </w:rPr>
        <w:t xml:space="preserve">log</w:t>
      </w:r>
      <w:r>
        <w:rPr>
          <w:rStyle w:val="NormalTok"/>
        </w:rPr>
        <w:t xml:space="preserve">(</w:t>
      </w:r>
      <w:r>
        <w:rPr>
          <w:rStyle w:val="DecValTok"/>
        </w:rPr>
        <w:t xml:space="preserve">1</w:t>
      </w:r>
      <w:r>
        <w:rPr>
          <w:rStyle w:val="NormalTok"/>
        </w:rPr>
        <w:t xml:space="preserve">))),</w:t>
      </w:r>
      <w:r>
        <w:br/>
      </w:r>
      <w:r>
        <w:rPr>
          <w:rStyle w:val="AttributeTok"/>
        </w:rPr>
        <w:t xml:space="preserve">control.inla=</w:t>
      </w:r>
      <w:r>
        <w:rPr>
          <w:rStyle w:val="FunctionTok"/>
        </w:rPr>
        <w:t xml:space="preserve">list</w:t>
      </w:r>
      <w:r>
        <w:rPr>
          <w:rStyle w:val="NormalTok"/>
        </w:rPr>
        <w:t xml:space="preserve">(</w:t>
      </w:r>
      <w:r>
        <w:rPr>
          <w:rStyle w:val="AttributeTok"/>
        </w:rPr>
        <w:t xml:space="preserve">strategy=</w:t>
      </w:r>
      <w:r>
        <w:rPr>
          <w:rStyle w:val="StringTok"/>
        </w:rPr>
        <w:t xml:space="preserve">"laplace"</w:t>
      </w:r>
      <w:r>
        <w:rPr>
          <w:rStyle w:val="NormalTok"/>
        </w:rPr>
        <w:t xml:space="preserve">, </w:t>
      </w:r>
      <w:r>
        <w:rPr>
          <w:rStyle w:val="AttributeTok"/>
        </w:rPr>
        <w:t xml:space="preserve">int.strategy=</w:t>
      </w:r>
      <w:r>
        <w:rPr>
          <w:rStyle w:val="StringTok"/>
        </w:rPr>
        <w:t xml:space="preserve">"grid"</w:t>
      </w:r>
      <w:r>
        <w:rPr>
          <w:rStyle w:val="NormalTok"/>
        </w:rPr>
        <w:t xml:space="preserve">))</w:t>
      </w:r>
    </w:p>
    <w:p>
      <w:pPr>
        <w:pStyle w:val="SourceCode"/>
      </w:pPr>
      <w:r>
        <w:rPr>
          <w:rStyle w:val="FunctionTok"/>
        </w:rPr>
        <w:t xml:space="preserve">summary</w:t>
      </w:r>
      <w:r>
        <w:rPr>
          <w:rStyle w:val="NormalTok"/>
        </w:rPr>
        <w:t xml:space="preserve">(resultado.p1)</w:t>
      </w:r>
    </w:p>
    <w:p>
      <w:pPr>
        <w:pStyle w:val="SourceCode"/>
      </w:pPr>
      <w:r>
        <w:rPr>
          <w:rStyle w:val="VerbatimChar"/>
        </w:rPr>
        <w:t xml:space="preserve">## </w:t>
      </w:r>
      <w:r>
        <w:br/>
      </w:r>
      <w:r>
        <w:rPr>
          <w:rStyle w:val="VerbatimChar"/>
        </w:rPr>
        <w:t xml:space="preserve">## Call:</w:t>
      </w:r>
      <w:r>
        <w:br/>
      </w:r>
      <w:r>
        <w:rPr>
          <w:rStyle w:val="VerbatimChar"/>
        </w:rPr>
        <w:t xml:space="preserve">##    c("inla(formula = formula1, family = \"poisson\", data = Datos, E = E, </w:t>
      </w:r>
      <w:r>
        <w:br/>
      </w:r>
      <w:r>
        <w:rPr>
          <w:rStyle w:val="VerbatimChar"/>
        </w:rPr>
        <w:t xml:space="preserve">##    ", " control.compute = list(dic = T, cpo = TRUE), control.predictor = </w:t>
      </w:r>
      <w:r>
        <w:br/>
      </w:r>
      <w:r>
        <w:rPr>
          <w:rStyle w:val="VerbatimChar"/>
        </w:rPr>
        <w:t xml:space="preserve">##    list(compute = TRUE, ", " cdf = c(log(1))), control.inla = </w:t>
      </w:r>
      <w:r>
        <w:br/>
      </w:r>
      <w:r>
        <w:rPr>
          <w:rStyle w:val="VerbatimChar"/>
        </w:rPr>
        <w:t xml:space="preserve">##    list(strategy = \"laplace\", ", " int.strategy = \"grid\"))") </w:t>
      </w:r>
      <w:r>
        <w:br/>
      </w:r>
      <w:r>
        <w:rPr>
          <w:rStyle w:val="VerbatimChar"/>
        </w:rPr>
        <w:t xml:space="preserve">## Time used:</w:t>
      </w:r>
      <w:r>
        <w:br/>
      </w:r>
      <w:r>
        <w:rPr>
          <w:rStyle w:val="VerbatimChar"/>
        </w:rPr>
        <w:t xml:space="preserve">##     Pre = 0.55, Running = 3.94, Post = 0.0596, Total = 4.55 </w:t>
      </w:r>
      <w:r>
        <w:br/>
      </w:r>
      <w:r>
        <w:rPr>
          <w:rStyle w:val="VerbatimChar"/>
        </w:rPr>
        <w:t xml:space="preserve">## Fixed effects:</w:t>
      </w:r>
      <w:r>
        <w:br/>
      </w:r>
      <w:r>
        <w:rPr>
          <w:rStyle w:val="VerbatimChar"/>
        </w:rPr>
        <w:t xml:space="preserve">##               mean    sd 0.025quant 0.5quant 0.975quant   mode kld</w:t>
      </w:r>
      <w:r>
        <w:br/>
      </w:r>
      <w:r>
        <w:rPr>
          <w:rStyle w:val="VerbatimChar"/>
        </w:rPr>
        <w:t xml:space="preserve">## (Intercept) -0.019 0.017     -0.052   -0.019      0.014 -0.019   0</w:t>
      </w:r>
      <w:r>
        <w:br/>
      </w:r>
      <w:r>
        <w:rPr>
          <w:rStyle w:val="VerbatimChar"/>
        </w:rPr>
        <w:t xml:space="preserve">## </w:t>
      </w:r>
      <w:r>
        <w:br/>
      </w:r>
      <w:r>
        <w:rPr>
          <w:rStyle w:val="VerbatimChar"/>
        </w:rPr>
        <w:t xml:space="preserve">## Random effects:</w:t>
      </w:r>
      <w:r>
        <w:br/>
      </w:r>
      <w:r>
        <w:rPr>
          <w:rStyle w:val="VerbatimChar"/>
        </w:rPr>
        <w:t xml:space="preserve">##   Name     Model</w:t>
      </w:r>
      <w:r>
        <w:br/>
      </w:r>
      <w:r>
        <w:rPr>
          <w:rStyle w:val="VerbatimChar"/>
        </w:rPr>
        <w:t xml:space="preserve">##     region.struct BYM model</w:t>
      </w:r>
      <w:r>
        <w:br/>
      </w:r>
      <w:r>
        <w:rPr>
          <w:rStyle w:val="VerbatimChar"/>
        </w:rPr>
        <w:t xml:space="preserve">## </w:t>
      </w:r>
      <w:r>
        <w:br/>
      </w:r>
      <w:r>
        <w:rPr>
          <w:rStyle w:val="VerbatimChar"/>
        </w:rPr>
        <w:t xml:space="preserve">## Model hyperparameters:</w:t>
      </w:r>
      <w:r>
        <w:br/>
      </w:r>
      <w:r>
        <w:rPr>
          <w:rStyle w:val="VerbatimChar"/>
        </w:rPr>
        <w:t xml:space="preserve">##                                                  mean    sd 0.025quant 0.5quant</w:t>
      </w:r>
      <w:r>
        <w:br/>
      </w:r>
      <w:r>
        <w:rPr>
          <w:rStyle w:val="VerbatimChar"/>
        </w:rPr>
        <w:t xml:space="preserve">## Precision for region.struct (iid component)     39.58  9.68      22.79    38.96</w:t>
      </w:r>
      <w:r>
        <w:br/>
      </w:r>
      <w:r>
        <w:rPr>
          <w:rStyle w:val="VerbatimChar"/>
        </w:rPr>
        <w:t xml:space="preserve">## Precision for region.struct (spatial component) 87.57 98.60      16.32    57.85</w:t>
      </w:r>
      <w:r>
        <w:br/>
      </w:r>
      <w:r>
        <w:rPr>
          <w:rStyle w:val="VerbatimChar"/>
        </w:rPr>
        <w:t xml:space="preserve">##                                                 0.975quant  mode</w:t>
      </w:r>
      <w:r>
        <w:br/>
      </w:r>
      <w:r>
        <w:rPr>
          <w:rStyle w:val="VerbatimChar"/>
        </w:rPr>
        <w:t xml:space="preserve">## Precision for region.struct (iid component)          60.51 37.85</w:t>
      </w:r>
      <w:r>
        <w:br/>
      </w:r>
      <w:r>
        <w:rPr>
          <w:rStyle w:val="VerbatimChar"/>
        </w:rPr>
        <w:t xml:space="preserve">## Precision for region.struct (spatial component)     340.32 32.53</w:t>
      </w:r>
      <w:r>
        <w:br/>
      </w:r>
      <w:r>
        <w:rPr>
          <w:rStyle w:val="VerbatimChar"/>
        </w:rPr>
        <w:t xml:space="preserve">## </w:t>
      </w:r>
      <w:r>
        <w:br/>
      </w:r>
      <w:r>
        <w:rPr>
          <w:rStyle w:val="VerbatimChar"/>
        </w:rPr>
        <w:t xml:space="preserve">## Expected number of effective parameters(stdev): 93.79(3.82)</w:t>
      </w:r>
      <w:r>
        <w:br/>
      </w:r>
      <w:r>
        <w:rPr>
          <w:rStyle w:val="VerbatimChar"/>
        </w:rPr>
        <w:t xml:space="preserve">## Number of equivalent replicates : 1.32 </w:t>
      </w:r>
      <w:r>
        <w:br/>
      </w:r>
      <w:r>
        <w:rPr>
          <w:rStyle w:val="VerbatimChar"/>
        </w:rPr>
        <w:t xml:space="preserve">## </w:t>
      </w:r>
      <w:r>
        <w:br/>
      </w:r>
      <w:r>
        <w:rPr>
          <w:rStyle w:val="VerbatimChar"/>
        </w:rPr>
        <w:t xml:space="preserve">## Deviance Information Criterion (DIC) ...............: 1022.50</w:t>
      </w:r>
      <w:r>
        <w:br/>
      </w:r>
      <w:r>
        <w:rPr>
          <w:rStyle w:val="VerbatimChar"/>
        </w:rPr>
        <w:t xml:space="preserve">## Deviance Information Criterion (DIC, saturated) ....: 218.59</w:t>
      </w:r>
      <w:r>
        <w:br/>
      </w:r>
      <w:r>
        <w:rPr>
          <w:rStyle w:val="VerbatimChar"/>
        </w:rPr>
        <w:t xml:space="preserve">## Effective number of parameters .....................: 94.18</w:t>
      </w:r>
      <w:r>
        <w:br/>
      </w:r>
      <w:r>
        <w:rPr>
          <w:rStyle w:val="VerbatimChar"/>
        </w:rPr>
        <w:t xml:space="preserve">## </w:t>
      </w:r>
      <w:r>
        <w:br/>
      </w:r>
      <w:r>
        <w:rPr>
          <w:rStyle w:val="VerbatimChar"/>
        </w:rPr>
        <w:t xml:space="preserve">## Marginal log-Likelihood:  -540.91 </w:t>
      </w:r>
      <w:r>
        <w:br/>
      </w:r>
      <w:r>
        <w:rPr>
          <w:rStyle w:val="VerbatimChar"/>
        </w:rPr>
        <w:t xml:space="preserve">## CPO and PIT are computed</w:t>
      </w:r>
      <w:r>
        <w:br/>
      </w:r>
      <w:r>
        <w:rPr>
          <w:rStyle w:val="VerbatimChar"/>
        </w:rPr>
        <w:t xml:space="preserve">## </w:t>
      </w:r>
      <w:r>
        <w:br/>
      </w:r>
      <w:r>
        <w:rPr>
          <w:rStyle w:val="VerbatimChar"/>
        </w:rPr>
        <w:t xml:space="preserve">## Posterior marginals for the linear predictor and</w:t>
      </w:r>
      <w:r>
        <w:br/>
      </w:r>
      <w:r>
        <w:rPr>
          <w:rStyle w:val="VerbatimChar"/>
        </w:rPr>
        <w:t xml:space="preserve">##  the fitted values are computed</w:t>
      </w:r>
    </w:p>
    <w:p>
      <w:pPr>
        <w:pStyle w:val="SourceCode"/>
      </w:pPr>
      <w:r>
        <w:rPr>
          <w:rStyle w:val="CommentTok"/>
        </w:rPr>
        <w:t xml:space="preserve"># Las RMEs de cada área las obtenemos mediante la siguiente sintaxis:</w:t>
      </w:r>
      <w:r>
        <w:br/>
      </w:r>
      <w:r>
        <w:rPr>
          <w:rStyle w:val="NormalTok"/>
        </w:rPr>
        <w:t xml:space="preserve">RMEs.p1 </w:t>
      </w:r>
      <w:r>
        <w:rPr>
          <w:rStyle w:val="OtherTok"/>
        </w:rPr>
        <w:t xml:space="preserve">&lt;-</w:t>
      </w:r>
      <w:r>
        <w:rPr>
          <w:rStyle w:val="NormalTok"/>
        </w:rPr>
        <w:t xml:space="preserve"> resultado.p1</w:t>
      </w:r>
      <w:r>
        <w:rPr>
          <w:rStyle w:val="SpecialCharTok"/>
        </w:rPr>
        <w:t xml:space="preserve">$</w:t>
      </w:r>
      <w:r>
        <w:rPr>
          <w:rStyle w:val="NormalTok"/>
        </w:rPr>
        <w:t xml:space="preserve">summary.fitted.values</w:t>
      </w:r>
      <w:r>
        <w:rPr>
          <w:rStyle w:val="SpecialCharTok"/>
        </w:rPr>
        <w:t xml:space="preserve">$</w:t>
      </w:r>
      <w:r>
        <w:rPr>
          <w:rStyle w:val="NormalTok"/>
        </w:rPr>
        <w:t xml:space="preserve">mean</w:t>
      </w:r>
      <w:r>
        <w:rPr>
          <w:rStyle w:val="SpecialCharTok"/>
        </w:rPr>
        <w:t xml:space="preserve">*</w:t>
      </w:r>
      <w:r>
        <w:rPr>
          <w:rStyle w:val="DecValTok"/>
        </w:rPr>
        <w:t xml:space="preserve">100</w:t>
      </w:r>
      <w:r>
        <w:br/>
      </w:r>
      <w:r>
        <w:rPr>
          <w:rStyle w:val="CommentTok"/>
        </w:rPr>
        <w:t xml:space="preserve"># Para obtener la probabilidad de que la RMEs sea superior a 100 para cadaáreaejecutaremos la siguiente sintaxis:</w:t>
      </w:r>
      <w:r>
        <w:br/>
      </w:r>
      <w:r>
        <w:rPr>
          <w:rStyle w:val="NormalTok"/>
        </w:rPr>
        <w:t xml:space="preserve">PRP.p1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resultado.p1</w:t>
      </w:r>
      <w:r>
        <w:rPr>
          <w:rStyle w:val="SpecialCharTok"/>
        </w:rPr>
        <w:t xml:space="preserve">$</w:t>
      </w:r>
      <w:r>
        <w:rPr>
          <w:rStyle w:val="NormalTok"/>
        </w:rPr>
        <w:t xml:space="preserve">summary.linear.predictor[,</w:t>
      </w:r>
      <w:r>
        <w:rPr>
          <w:rStyle w:val="StringTok"/>
        </w:rPr>
        <w:t xml:space="preserve">"0 cdf"</w:t>
      </w:r>
      <w:r>
        <w:rPr>
          <w:rStyle w:val="NormalTok"/>
        </w:rPr>
        <w:t xml:space="preserve">]</w:t>
      </w:r>
    </w:p>
    <w:p>
      <w:pPr>
        <w:pStyle w:val="FirstParagraph"/>
      </w:pPr>
      <w:r>
        <w:t xml:space="preserve">Representaremos la RMEs mediante mapas de septiles (Figura 1) donde los colores verdes representan lasáreas con mayor defecto de mortalidad, mientras que las áreas con mayor exceso de mortalidad son representadas en tonos marrones.</w:t>
      </w:r>
    </w:p>
    <w:p>
      <w:pPr>
        <w:pStyle w:val="BodyText"/>
      </w:pPr>
      <w:r>
        <w:drawing>
          <wp:inline>
            <wp:extent cx="4620126" cy="3696101"/>
            <wp:effectExtent b="0" l="0" r="0" t="0"/>
            <wp:docPr descr="" title="" id="1" name="Picture"/>
            <a:graphic>
              <a:graphicData uri="http://schemas.openxmlformats.org/drawingml/2006/picture">
                <pic:pic>
                  <pic:nvPicPr>
                    <pic:cNvPr descr="articulo_proyecto_medea_RMS_final_4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 el objeto de cuantificar la evidencia estadística que proporcionan las estimaciones del riesgo en cada sección censal crearemos mapas de la probabilidad de exceso de riesgo (RMEs&gt;100) (Figura 2). Para representar estas probabilidades en el mapa consideraremos la siguiente segmentación: (0,2; 0,4; 0,6;….). Utilizaremos tonalidades verdes para los riesgos relativos con baja probabilidad de ser superior a 100 (áreas con defecto de riesgo), rojas para los riesgos relativos con alta probabilidad (áreas con exceso de riesgo) y el rango intermedio lo representaremos en amarillo.</w:t>
      </w:r>
    </w:p>
    <w:p>
      <w:pPr>
        <w:pStyle w:val="BodyText"/>
      </w:pPr>
      <w:r>
        <w:drawing>
          <wp:inline>
            <wp:extent cx="4620126" cy="3696101"/>
            <wp:effectExtent b="0" l="0" r="0" t="0"/>
            <wp:docPr descr="" title="" id="1" name="Picture"/>
            <a:graphic>
              <a:graphicData uri="http://schemas.openxmlformats.org/drawingml/2006/picture">
                <pic:pic>
                  <pic:nvPicPr>
                    <pic:cNvPr descr="articulo_proyecto_medea_RMS_final_4_files/figure-docx/unnamed-chunk-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Para observar la forma de la distribución de la RMEs representaremos su función de densidad (Figura nº 3). En su interior se muestran los colores correspondientes a los grupos de valores utilizados en la representación geográfica de las RMEs. La función de densidad permite apreciar con detalle el rango de valores de la RMEs, el cual no es visible en el mapa.</w:t>
      </w:r>
    </w:p>
    <w:p>
      <w:pPr>
        <w:pStyle w:val="BodyText"/>
      </w:pPr>
      <w:r>
        <w:drawing>
          <wp:inline>
            <wp:extent cx="4620126" cy="3696101"/>
            <wp:effectExtent b="0" l="0" r="0" t="0"/>
            <wp:docPr descr="" title="" id="1" name="Picture"/>
            <a:graphic>
              <a:graphicData uri="http://schemas.openxmlformats.org/drawingml/2006/picture">
                <pic:pic>
                  <pic:nvPicPr>
                    <pic:cNvPr descr="articulo_proyecto_medea_RMS_final_4_files/figure-docx/unnamed-chunk-9-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34" w:name="Xa79047a18f3cfe8d8b9746ca41f6be3c6df6fd8"/>
    <w:p>
      <w:pPr>
        <w:pStyle w:val="Heading2"/>
      </w:pPr>
      <w:r>
        <w:t xml:space="preserve">Análisis del periodo (Estandarización interna con tasas específicas de referencia media 1997-2015, Mujeres)</w:t>
      </w:r>
    </w:p>
    <w:p>
      <w:pPr>
        <w:pStyle w:val="FirstParagraph"/>
      </w:pPr>
      <w:r>
        <w:t xml:space="preserve">Definimos la fórmula del modelo (formula1) y ejecutamos la función</w:t>
      </w:r>
      <w:r>
        <w:t xml:space="preserve"> </w:t>
      </w:r>
      <w:r>
        <w:t xml:space="preserve">“</w:t>
      </w:r>
      <w:r>
        <w:t xml:space="preserve">inla</w:t>
      </w:r>
      <w:r>
        <w:t xml:space="preserve">”</w:t>
      </w:r>
      <w:r>
        <w:t xml:space="preserve">. Así,obtendremos las RME suavizadas para cada sección censal. También obtendremos la probabilidad de que la RMEs sea mayor que 100 (probabilidad de exceso de riesgo) para cada sección censal. Todos los resultados de este modelo se guardarán en el objeto</w:t>
      </w:r>
      <w:r>
        <w:t xml:space="preserve"> </w:t>
      </w:r>
      <w:r>
        <w:t xml:space="preserve">“</w:t>
      </w:r>
      <w:r>
        <w:t xml:space="preserve">resultado.p1</w:t>
      </w:r>
      <w:r>
        <w:t xml:space="preserve">”</w:t>
      </w:r>
      <w:r>
        <w:t xml:space="preserve">.</w:t>
      </w:r>
    </w:p>
    <w:p>
      <w:pPr>
        <w:pStyle w:val="SourceCode"/>
      </w:pPr>
      <w:r>
        <w:rPr>
          <w:rStyle w:val="NormalTok"/>
        </w:rPr>
        <w:t xml:space="preserve">sdunif       </w:t>
      </w:r>
      <w:r>
        <w:rPr>
          <w:rStyle w:val="OtherTok"/>
        </w:rPr>
        <w:t xml:space="preserve">&lt;-</w:t>
      </w:r>
      <w:r>
        <w:rPr>
          <w:rStyle w:val="NormalTok"/>
        </w:rPr>
        <w:t xml:space="preserve"> </w:t>
      </w:r>
      <w:r>
        <w:rPr>
          <w:rStyle w:val="StringTok"/>
        </w:rPr>
        <w:t xml:space="preserve">"expression:</w:t>
      </w:r>
      <w:r>
        <w:br/>
      </w:r>
      <w:r>
        <w:rPr>
          <w:rStyle w:val="StringTok"/>
        </w:rPr>
        <w:t xml:space="preserve">  logdens=log(0.5)-log_precision/2;</w:t>
      </w:r>
      <w:r>
        <w:br/>
      </w:r>
      <w:r>
        <w:rPr>
          <w:rStyle w:val="StringTok"/>
        </w:rPr>
        <w:t xml:space="preserve">  return(logdens);"</w:t>
      </w:r>
      <w:r>
        <w:br/>
      </w:r>
      <w:r>
        <w:rPr>
          <w:rStyle w:val="NormalTok"/>
        </w:rPr>
        <w:t xml:space="preserve">formula1 </w:t>
      </w:r>
      <w:r>
        <w:rPr>
          <w:rStyle w:val="OtherTok"/>
        </w:rPr>
        <w:t xml:space="preserve">&lt;-</w:t>
      </w:r>
      <w:r>
        <w:rPr>
          <w:rStyle w:val="NormalTok"/>
        </w:rPr>
        <w:t xml:space="preserve"> O </w:t>
      </w:r>
      <w:r>
        <w:rPr>
          <w:rStyle w:val="SpecialCharTok"/>
        </w:rPr>
        <w:t xml:space="preserve">~</w:t>
      </w:r>
      <w:r>
        <w:rPr>
          <w:rStyle w:val="NormalTok"/>
        </w:rPr>
        <w:t xml:space="preserve"> </w:t>
      </w:r>
      <w:r>
        <w:rPr>
          <w:rStyle w:val="FunctionTok"/>
        </w:rPr>
        <w:t xml:space="preserve">f</w:t>
      </w:r>
      <w:r>
        <w:rPr>
          <w:rStyle w:val="NormalTok"/>
        </w:rPr>
        <w:t xml:space="preserve">(</w:t>
      </w:r>
      <w:r>
        <w:br/>
      </w:r>
      <w:r>
        <w:rPr>
          <w:rStyle w:val="NormalTok"/>
        </w:rPr>
        <w:t xml:space="preserve">  region.struct,</w:t>
      </w:r>
      <w:r>
        <w:br/>
      </w:r>
      <w:r>
        <w:rPr>
          <w:rStyle w:val="NormalTok"/>
        </w:rPr>
        <w:t xml:space="preserve">  </w:t>
      </w:r>
      <w:r>
        <w:rPr>
          <w:rStyle w:val="AttributeTok"/>
        </w:rPr>
        <w:t xml:space="preserve">model =</w:t>
      </w:r>
      <w:r>
        <w:rPr>
          <w:rStyle w:val="NormalTok"/>
        </w:rPr>
        <w:t xml:space="preserve"> </w:t>
      </w:r>
      <w:r>
        <w:rPr>
          <w:rStyle w:val="StringTok"/>
        </w:rPr>
        <w:t xml:space="preserve">"bym"</w:t>
      </w:r>
      <w:r>
        <w:rPr>
          <w:rStyle w:val="NormalTok"/>
        </w:rPr>
        <w:t xml:space="preserve">,</w:t>
      </w:r>
      <w:r>
        <w:br/>
      </w:r>
      <w:r>
        <w:rPr>
          <w:rStyle w:val="NormalTok"/>
        </w:rPr>
        <w:t xml:space="preserve">  </w:t>
      </w:r>
      <w:r>
        <w:rPr>
          <w:rStyle w:val="AttributeTok"/>
        </w:rPr>
        <w:t xml:space="preserve">graph =</w:t>
      </w:r>
      <w:r>
        <w:rPr>
          <w:rStyle w:val="NormalTok"/>
        </w:rPr>
        <w:t xml:space="preserve"> </w:t>
      </w:r>
      <w:r>
        <w:rPr>
          <w:rStyle w:val="StringTok"/>
        </w:rPr>
        <w:t xml:space="preserve">"Santander_nb.inla"</w:t>
      </w:r>
      <w:r>
        <w:rPr>
          <w:rStyle w:val="NormalTok"/>
        </w:rPr>
        <w:t xml:space="preserve">,</w:t>
      </w:r>
      <w:r>
        <w:br/>
      </w:r>
      <w:r>
        <w:rPr>
          <w:rStyle w:val="NormalTok"/>
        </w:rPr>
        <w:t xml:space="preserve">  </w:t>
      </w:r>
      <w:r>
        <w:rPr>
          <w:rStyle w:val="AttributeTok"/>
        </w:rPr>
        <w:t xml:space="preserve">hyper =</w:t>
      </w:r>
      <w:r>
        <w:rPr>
          <w:rStyle w:val="NormalTok"/>
        </w:rPr>
        <w:t xml:space="preserve"> </w:t>
      </w:r>
      <w:r>
        <w:rPr>
          <w:rStyle w:val="FunctionTok"/>
        </w:rPr>
        <w:t xml:space="preserve">list</w:t>
      </w:r>
      <w:r>
        <w:rPr>
          <w:rStyle w:val="NormalTok"/>
        </w:rPr>
        <w:t xml:space="preserve">(</w:t>
      </w:r>
      <w:r>
        <w:rPr>
          <w:rStyle w:val="AttributeTok"/>
        </w:rPr>
        <w:t xml:space="preserve">prec.unstruct =</w:t>
      </w:r>
      <w:r>
        <w:rPr>
          <w:rStyle w:val="NormalTok"/>
        </w:rPr>
        <w:t xml:space="preserve"> </w:t>
      </w:r>
      <w:r>
        <w:rPr>
          <w:rStyle w:val="FunctionTok"/>
        </w:rPr>
        <w:t xml:space="preserve">list</w:t>
      </w:r>
      <w:r>
        <w:rPr>
          <w:rStyle w:val="NormalTok"/>
        </w:rPr>
        <w:t xml:space="preserve">(</w:t>
      </w:r>
      <w:r>
        <w:rPr>
          <w:rStyle w:val="AttributeTok"/>
        </w:rPr>
        <w:t xml:space="preserve">prior =</w:t>
      </w:r>
      <w:r>
        <w:rPr>
          <w:rStyle w:val="NormalTok"/>
        </w:rPr>
        <w:t xml:space="preserve"> sdunif), </w:t>
      </w:r>
      <w:r>
        <w:rPr>
          <w:rStyle w:val="AttributeTok"/>
        </w:rPr>
        <w:t xml:space="preserve">prec.spatial =</w:t>
      </w:r>
      <w:r>
        <w:rPr>
          <w:rStyle w:val="NormalTok"/>
        </w:rPr>
        <w:t xml:space="preserve"> </w:t>
      </w:r>
      <w:r>
        <w:rPr>
          <w:rStyle w:val="FunctionTok"/>
        </w:rPr>
        <w:t xml:space="preserve">list</w:t>
      </w:r>
      <w:r>
        <w:rPr>
          <w:rStyle w:val="NormalTok"/>
        </w:rPr>
        <w:t xml:space="preserve">(</w:t>
      </w:r>
      <w:r>
        <w:rPr>
          <w:rStyle w:val="AttributeTok"/>
        </w:rPr>
        <w:t xml:space="preserve">prior =</w:t>
      </w:r>
      <w:r>
        <w:rPr>
          <w:rStyle w:val="NormalTok"/>
        </w:rPr>
        <w:t xml:space="preserve"> sdunif))</w:t>
      </w:r>
      <w:r>
        <w:br/>
      </w:r>
      <w:r>
        <w:rPr>
          <w:rStyle w:val="NormalTok"/>
        </w:rPr>
        <w:t xml:space="preserve">)</w:t>
      </w:r>
      <w:r>
        <w:br/>
      </w:r>
      <w:r>
        <w:rPr>
          <w:rStyle w:val="NormalTok"/>
        </w:rPr>
        <w:t xml:space="preserve">resultado.p1 </w:t>
      </w:r>
      <w:r>
        <w:rPr>
          <w:rStyle w:val="OtherTok"/>
        </w:rPr>
        <w:t xml:space="preserve">&lt;-</w:t>
      </w:r>
      <w:r>
        <w:rPr>
          <w:rStyle w:val="NormalTok"/>
        </w:rPr>
        <w:t xml:space="preserve"> </w:t>
      </w:r>
      <w:r>
        <w:rPr>
          <w:rStyle w:val="FunctionTok"/>
        </w:rPr>
        <w:t xml:space="preserve">inla</w:t>
      </w:r>
      <w:r>
        <w:rPr>
          <w:rStyle w:val="NormalTok"/>
        </w:rPr>
        <w:t xml:space="preserve">(formula1, </w:t>
      </w:r>
      <w:r>
        <w:rPr>
          <w:rStyle w:val="AttributeTok"/>
        </w:rPr>
        <w:t xml:space="preserve">family=</w:t>
      </w:r>
      <w:r>
        <w:rPr>
          <w:rStyle w:val="StringTok"/>
        </w:rPr>
        <w:t xml:space="preserve">"poisson"</w:t>
      </w:r>
      <w:r>
        <w:rPr>
          <w:rStyle w:val="NormalTok"/>
        </w:rPr>
        <w:t xml:space="preserve">, </w:t>
      </w:r>
      <w:r>
        <w:rPr>
          <w:rStyle w:val="AttributeTok"/>
        </w:rPr>
        <w:t xml:space="preserve">data=</w:t>
      </w:r>
      <w:r>
        <w:rPr>
          <w:rStyle w:val="NormalTok"/>
        </w:rPr>
        <w:t xml:space="preserve">Datos, </w:t>
      </w:r>
      <w:r>
        <w:rPr>
          <w:rStyle w:val="AttributeTok"/>
        </w:rPr>
        <w:t xml:space="preserve">E=</w:t>
      </w:r>
      <w:r>
        <w:rPr>
          <w:rStyle w:val="NormalTok"/>
        </w:rPr>
        <w:t xml:space="preserve">E,</w:t>
      </w:r>
      <w:r>
        <w:br/>
      </w:r>
      <w:r>
        <w:rPr>
          <w:rStyle w:val="AttributeTok"/>
        </w:rPr>
        <w:t xml:space="preserve">control.compute=</w:t>
      </w:r>
      <w:r>
        <w:rPr>
          <w:rStyle w:val="FunctionTok"/>
        </w:rPr>
        <w:t xml:space="preserve">list</w:t>
      </w:r>
      <w:r>
        <w:rPr>
          <w:rStyle w:val="NormalTok"/>
        </w:rPr>
        <w:t xml:space="preserve">(</w:t>
      </w:r>
      <w:r>
        <w:rPr>
          <w:rStyle w:val="AttributeTok"/>
        </w:rPr>
        <w:t xml:space="preserve">dic=</w:t>
      </w:r>
      <w:r>
        <w:rPr>
          <w:rStyle w:val="NormalTok"/>
        </w:rPr>
        <w:t xml:space="preserve">T, </w:t>
      </w:r>
      <w:r>
        <w:rPr>
          <w:rStyle w:val="AttributeTok"/>
        </w:rPr>
        <w:t xml:space="preserve">cpo=</w:t>
      </w:r>
      <w:r>
        <w:rPr>
          <w:rStyle w:val="ConstantTok"/>
        </w:rPr>
        <w:t xml:space="preserve">TRUE</w:t>
      </w:r>
      <w:r>
        <w:rPr>
          <w:rStyle w:val="NormalTok"/>
        </w:rPr>
        <w:t xml:space="preserve">),</w:t>
      </w:r>
      <w:r>
        <w:br/>
      </w:r>
      <w:r>
        <w:rPr>
          <w:rStyle w:val="AttributeTok"/>
        </w:rPr>
        <w:t xml:space="preserve">control.predictor=</w:t>
      </w:r>
      <w:r>
        <w:rPr>
          <w:rStyle w:val="FunctionTok"/>
        </w:rPr>
        <w:t xml:space="preserve">list</w:t>
      </w:r>
      <w:r>
        <w:rPr>
          <w:rStyle w:val="NormalTok"/>
        </w:rPr>
        <w:t xml:space="preserve">(</w:t>
      </w:r>
      <w:r>
        <w:rPr>
          <w:rStyle w:val="AttributeTok"/>
        </w:rPr>
        <w:t xml:space="preserve">compute=</w:t>
      </w:r>
      <w:r>
        <w:rPr>
          <w:rStyle w:val="ConstantTok"/>
        </w:rPr>
        <w:t xml:space="preserve">TRUE</w:t>
      </w:r>
      <w:r>
        <w:rPr>
          <w:rStyle w:val="NormalTok"/>
        </w:rPr>
        <w:t xml:space="preserve">, </w:t>
      </w:r>
      <w:r>
        <w:rPr>
          <w:rStyle w:val="AttributeTok"/>
        </w:rPr>
        <w:t xml:space="preserve">cdf=</w:t>
      </w:r>
      <w:r>
        <w:rPr>
          <w:rStyle w:val="FunctionTok"/>
        </w:rPr>
        <w:t xml:space="preserve">c</w:t>
      </w:r>
      <w:r>
        <w:rPr>
          <w:rStyle w:val="NormalTok"/>
        </w:rPr>
        <w:t xml:space="preserve">(</w:t>
      </w:r>
      <w:r>
        <w:rPr>
          <w:rStyle w:val="FunctionTok"/>
        </w:rPr>
        <w:t xml:space="preserve">log</w:t>
      </w:r>
      <w:r>
        <w:rPr>
          <w:rStyle w:val="NormalTok"/>
        </w:rPr>
        <w:t xml:space="preserve">(</w:t>
      </w:r>
      <w:r>
        <w:rPr>
          <w:rStyle w:val="DecValTok"/>
        </w:rPr>
        <w:t xml:space="preserve">1</w:t>
      </w:r>
      <w:r>
        <w:rPr>
          <w:rStyle w:val="NormalTok"/>
        </w:rPr>
        <w:t xml:space="preserve">))),</w:t>
      </w:r>
      <w:r>
        <w:br/>
      </w:r>
      <w:r>
        <w:rPr>
          <w:rStyle w:val="AttributeTok"/>
        </w:rPr>
        <w:t xml:space="preserve">control.inla=</w:t>
      </w:r>
      <w:r>
        <w:rPr>
          <w:rStyle w:val="FunctionTok"/>
        </w:rPr>
        <w:t xml:space="preserve">list</w:t>
      </w:r>
      <w:r>
        <w:rPr>
          <w:rStyle w:val="NormalTok"/>
        </w:rPr>
        <w:t xml:space="preserve">(</w:t>
      </w:r>
      <w:r>
        <w:rPr>
          <w:rStyle w:val="AttributeTok"/>
        </w:rPr>
        <w:t xml:space="preserve">strategy=</w:t>
      </w:r>
      <w:r>
        <w:rPr>
          <w:rStyle w:val="StringTok"/>
        </w:rPr>
        <w:t xml:space="preserve">"laplace"</w:t>
      </w:r>
      <w:r>
        <w:rPr>
          <w:rStyle w:val="NormalTok"/>
        </w:rPr>
        <w:t xml:space="preserve">, </w:t>
      </w:r>
      <w:r>
        <w:rPr>
          <w:rStyle w:val="AttributeTok"/>
        </w:rPr>
        <w:t xml:space="preserve">int.strategy=</w:t>
      </w:r>
      <w:r>
        <w:rPr>
          <w:rStyle w:val="StringTok"/>
        </w:rPr>
        <w:t xml:space="preserve">"grid"</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c("inla(formula = formula1, family = \"poisson\", data = Datos, E = E, </w:t>
      </w:r>
      <w:r>
        <w:br/>
      </w:r>
      <w:r>
        <w:rPr>
          <w:rStyle w:val="VerbatimChar"/>
        </w:rPr>
        <w:t xml:space="preserve">##    ", " control.compute = list(dic = T, cpo = TRUE), control.predictor = </w:t>
      </w:r>
      <w:r>
        <w:br/>
      </w:r>
      <w:r>
        <w:rPr>
          <w:rStyle w:val="VerbatimChar"/>
        </w:rPr>
        <w:t xml:space="preserve">##    list(compute = TRUE, ", " cdf = c(log(1))), control.inla = </w:t>
      </w:r>
      <w:r>
        <w:br/>
      </w:r>
      <w:r>
        <w:rPr>
          <w:rStyle w:val="VerbatimChar"/>
        </w:rPr>
        <w:t xml:space="preserve">##    list(strategy = \"laplace\", ", " int.strategy = \"grid\"))") </w:t>
      </w:r>
      <w:r>
        <w:br/>
      </w:r>
      <w:r>
        <w:rPr>
          <w:rStyle w:val="VerbatimChar"/>
        </w:rPr>
        <w:t xml:space="preserve">## Time used:</w:t>
      </w:r>
      <w:r>
        <w:br/>
      </w:r>
      <w:r>
        <w:rPr>
          <w:rStyle w:val="VerbatimChar"/>
        </w:rPr>
        <w:t xml:space="preserve">##     Pre = 0.336, Running = 5.06, Post = 0.0315, Total = 5.43 </w:t>
      </w:r>
      <w:r>
        <w:br/>
      </w:r>
      <w:r>
        <w:rPr>
          <w:rStyle w:val="VerbatimChar"/>
        </w:rPr>
        <w:t xml:space="preserve">## Fixed effects:</w:t>
      </w:r>
      <w:r>
        <w:br/>
      </w:r>
      <w:r>
        <w:rPr>
          <w:rStyle w:val="VerbatimChar"/>
        </w:rPr>
        <w:t xml:space="preserve">##               mean    sd 0.025quant 0.5quant 0.975quant   mode kld</w:t>
      </w:r>
      <w:r>
        <w:br/>
      </w:r>
      <w:r>
        <w:rPr>
          <w:rStyle w:val="VerbatimChar"/>
        </w:rPr>
        <w:t xml:space="preserve">## (Intercept) -0.043 0.014     -0.072   -0.043     -0.015 -0.043   0</w:t>
      </w:r>
      <w:r>
        <w:br/>
      </w:r>
      <w:r>
        <w:rPr>
          <w:rStyle w:val="VerbatimChar"/>
        </w:rPr>
        <w:t xml:space="preserve">## </w:t>
      </w:r>
      <w:r>
        <w:br/>
      </w:r>
      <w:r>
        <w:rPr>
          <w:rStyle w:val="VerbatimChar"/>
        </w:rPr>
        <w:t xml:space="preserve">## Random effects:</w:t>
      </w:r>
      <w:r>
        <w:br/>
      </w:r>
      <w:r>
        <w:rPr>
          <w:rStyle w:val="VerbatimChar"/>
        </w:rPr>
        <w:t xml:space="preserve">##   Name     Model</w:t>
      </w:r>
      <w:r>
        <w:br/>
      </w:r>
      <w:r>
        <w:rPr>
          <w:rStyle w:val="VerbatimChar"/>
        </w:rPr>
        <w:t xml:space="preserve">##     region.struct BYM model</w:t>
      </w:r>
      <w:r>
        <w:br/>
      </w:r>
      <w:r>
        <w:rPr>
          <w:rStyle w:val="VerbatimChar"/>
        </w:rPr>
        <w:t xml:space="preserve">## </w:t>
      </w:r>
      <w:r>
        <w:br/>
      </w:r>
      <w:r>
        <w:rPr>
          <w:rStyle w:val="VerbatimChar"/>
        </w:rPr>
        <w:t xml:space="preserve">## Model hyperparameters:</w:t>
      </w:r>
      <w:r>
        <w:br/>
      </w:r>
      <w:r>
        <w:rPr>
          <w:rStyle w:val="VerbatimChar"/>
        </w:rPr>
        <w:t xml:space="preserve">##                                                  mean    sd 0.025quant 0.5quant</w:t>
      </w:r>
      <w:r>
        <w:br/>
      </w:r>
      <w:r>
        <w:rPr>
          <w:rStyle w:val="VerbatimChar"/>
        </w:rPr>
        <w:t xml:space="preserve">## Precision for region.struct (iid component)     65.08 21.65      31.87    62.07</w:t>
      </w:r>
      <w:r>
        <w:br/>
      </w:r>
      <w:r>
        <w:rPr>
          <w:rStyle w:val="VerbatimChar"/>
        </w:rPr>
        <w:t xml:space="preserve">## Precision for region.struct (spatial component) 27.41 13.50      10.25    24.43</w:t>
      </w:r>
      <w:r>
        <w:br/>
      </w:r>
      <w:r>
        <w:rPr>
          <w:rStyle w:val="VerbatimChar"/>
        </w:rPr>
        <w:t xml:space="preserve">##                                                 0.975quant  mode</w:t>
      </w:r>
      <w:r>
        <w:br/>
      </w:r>
      <w:r>
        <w:rPr>
          <w:rStyle w:val="VerbatimChar"/>
        </w:rPr>
        <w:t xml:space="preserve">## Precision for region.struct (iid component)         116.23 56.34</w:t>
      </w:r>
      <w:r>
        <w:br/>
      </w:r>
      <w:r>
        <w:rPr>
          <w:rStyle w:val="VerbatimChar"/>
        </w:rPr>
        <w:t xml:space="preserve">## Precision for region.struct (spatial component)      61.79 19.66</w:t>
      </w:r>
      <w:r>
        <w:br/>
      </w:r>
      <w:r>
        <w:rPr>
          <w:rStyle w:val="VerbatimChar"/>
        </w:rPr>
        <w:t xml:space="preserve">## </w:t>
      </w:r>
      <w:r>
        <w:br/>
      </w:r>
      <w:r>
        <w:rPr>
          <w:rStyle w:val="VerbatimChar"/>
        </w:rPr>
        <w:t xml:space="preserve">## Expected number of effective parameters(stdev): 88.92(4.06)</w:t>
      </w:r>
      <w:r>
        <w:br/>
      </w:r>
      <w:r>
        <w:rPr>
          <w:rStyle w:val="VerbatimChar"/>
        </w:rPr>
        <w:t xml:space="preserve">## Number of equivalent replicates : 1.40 </w:t>
      </w:r>
      <w:r>
        <w:br/>
      </w:r>
      <w:r>
        <w:rPr>
          <w:rStyle w:val="VerbatimChar"/>
        </w:rPr>
        <w:t xml:space="preserve">## </w:t>
      </w:r>
      <w:r>
        <w:br/>
      </w:r>
      <w:r>
        <w:rPr>
          <w:rStyle w:val="VerbatimChar"/>
        </w:rPr>
        <w:t xml:space="preserve">## Deviance Information Criterion (DIC) ...............: 1003.33</w:t>
      </w:r>
      <w:r>
        <w:br/>
      </w:r>
      <w:r>
        <w:rPr>
          <w:rStyle w:val="VerbatimChar"/>
        </w:rPr>
        <w:t xml:space="preserve">## Deviance Information Criterion (DIC, saturated) ....: 204.52</w:t>
      </w:r>
      <w:r>
        <w:br/>
      </w:r>
      <w:r>
        <w:rPr>
          <w:rStyle w:val="VerbatimChar"/>
        </w:rPr>
        <w:t xml:space="preserve">## Effective number of parameters .....................: 89.32</w:t>
      </w:r>
      <w:r>
        <w:br/>
      </w:r>
      <w:r>
        <w:rPr>
          <w:rStyle w:val="VerbatimChar"/>
        </w:rPr>
        <w:t xml:space="preserve">## </w:t>
      </w:r>
      <w:r>
        <w:br/>
      </w:r>
      <w:r>
        <w:rPr>
          <w:rStyle w:val="VerbatimChar"/>
        </w:rPr>
        <w:t xml:space="preserve">## Marginal log-Likelihood:  -526.40 </w:t>
      </w:r>
      <w:r>
        <w:br/>
      </w:r>
      <w:r>
        <w:rPr>
          <w:rStyle w:val="VerbatimChar"/>
        </w:rPr>
        <w:t xml:space="preserve">## CPO and PIT are computed</w:t>
      </w:r>
      <w:r>
        <w:br/>
      </w:r>
      <w:r>
        <w:rPr>
          <w:rStyle w:val="VerbatimChar"/>
        </w:rPr>
        <w:t xml:space="preserve">## </w:t>
      </w:r>
      <w:r>
        <w:br/>
      </w:r>
      <w:r>
        <w:rPr>
          <w:rStyle w:val="VerbatimChar"/>
        </w:rPr>
        <w:t xml:space="preserve">## Posterior marginals for the linear predictor and</w:t>
      </w:r>
      <w:r>
        <w:br/>
      </w:r>
      <w:r>
        <w:rPr>
          <w:rStyle w:val="VerbatimChar"/>
        </w:rPr>
        <w:t xml:space="preserve">##  the fitted values are computed</w:t>
      </w:r>
    </w:p>
    <w:p>
      <w:pPr>
        <w:pStyle w:val="SourceCode"/>
      </w:pPr>
      <w:r>
        <w:rPr>
          <w:rStyle w:val="VerbatimChar"/>
        </w:rPr>
        <w:t xml:space="preserve">##      Min.   1st Qu.    Median      Mean   3rd Qu.      Max. </w:t>
      </w:r>
      <w:r>
        <w:br/>
      </w:r>
      <w:r>
        <w:rPr>
          <w:rStyle w:val="VerbatimChar"/>
        </w:rPr>
        <w:t xml:space="preserve">## 0.0001712 0.0522756 0.2065202 0.3523779 0.6892419 1.0000000</w:t>
      </w:r>
    </w:p>
    <w:p>
      <w:pPr>
        <w:pStyle w:val="FirstParagraph"/>
      </w:pPr>
      <w:r>
        <w:t xml:space="preserve">Representaremos la RMEs mediante mapas de septiles (Figura nº 4) donde los colores verdes representan las áreas con mayor defecto de mortalidad, mientras que lasáreas con mayor exceso de mortalidad son representadas en tonos marrones.</w:t>
      </w:r>
    </w:p>
    <w:p>
      <w:pPr>
        <w:pStyle w:val="BodyText"/>
      </w:pPr>
      <w:r>
        <w:drawing>
          <wp:inline>
            <wp:extent cx="4620126" cy="3696101"/>
            <wp:effectExtent b="0" l="0" r="0" t="0"/>
            <wp:docPr descr="" title="" id="1" name="Picture"/>
            <a:graphic>
              <a:graphicData uri="http://schemas.openxmlformats.org/drawingml/2006/picture">
                <pic:pic>
                  <pic:nvPicPr>
                    <pic:cNvPr descr="articulo_proyecto_medea_RMS_final_4_files/figure-docx/unnamed-chunk-1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 el objeto de cuantificar la evidencia estadística que proporcionan las estimaciones del riesgo en cada sección censal crearemos mapas de la probabilidad de exceso de riesgo (RMEs&gt;100) (Figura nº 5).</w:t>
      </w:r>
    </w:p>
    <w:p>
      <w:pPr>
        <w:pStyle w:val="BodyText"/>
      </w:pPr>
      <w:r>
        <w:drawing>
          <wp:inline>
            <wp:extent cx="4620126" cy="3696101"/>
            <wp:effectExtent b="0" l="0" r="0" t="0"/>
            <wp:docPr descr="" title="" id="1" name="Picture"/>
            <a:graphic>
              <a:graphicData uri="http://schemas.openxmlformats.org/drawingml/2006/picture">
                <pic:pic>
                  <pic:nvPicPr>
                    <pic:cNvPr descr="articulo_proyecto_medea_RMS_final_4_files/figure-docx/unnamed-chunk-15-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Para observar la forma de la distribución de la RMEs representaremos su función de densidad (Figura nº 6).</w:t>
      </w:r>
    </w:p>
    <w:p>
      <w:pPr>
        <w:pStyle w:val="BodyText"/>
      </w:pPr>
      <w:r>
        <w:drawing>
          <wp:inline>
            <wp:extent cx="4620126" cy="3696101"/>
            <wp:effectExtent b="0" l="0" r="0" t="0"/>
            <wp:docPr descr="" title="" id="1" name="Picture"/>
            <a:graphic>
              <a:graphicData uri="http://schemas.openxmlformats.org/drawingml/2006/picture">
                <pic:pic>
                  <pic:nvPicPr>
                    <pic:cNvPr descr="articulo_proyecto_medea_RMS_final_4_files/figure-docx/unnamed-chunk-1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End w:id="35"/>
    <w:bookmarkStart w:id="71" w:name="X2b1908695580f3b3d9a05400c8946631635c28f"/>
    <w:p>
      <w:pPr>
        <w:pStyle w:val="Heading1"/>
      </w:pPr>
      <w:r>
        <w:t xml:space="preserve">Indicador de privación Multidimensional de Cantabria</w:t>
      </w:r>
    </w:p>
    <w:bookmarkStart w:id="37" w:name="indice-de-privacion-medea"/>
    <w:p>
      <w:pPr>
        <w:pStyle w:val="Heading2"/>
      </w:pPr>
      <w:r>
        <w:t xml:space="preserve">Indice de privacion MEDEA</w:t>
      </w:r>
    </w:p>
    <w:p>
      <w:pPr>
        <w:pStyle w:val="FirstParagraph"/>
      </w:pPr>
      <w:r>
        <w:t xml:space="preserve">Las etapas seguidas en la construcción del indicador de privación MEDEA (</w:t>
      </w:r>
      <w:hyperlink r:id="rId36">
        <w:r>
          <w:rPr>
            <w:rStyle w:val="Hyperlink"/>
          </w:rPr>
          <w:t xml:space="preserve">http://scielo.isciii.es/scielo.php?script=sci_arttext&amp;pid=S0213-91112008000300002</w:t>
        </w:r>
      </w:hyperlink>
      <w:r>
        <w:t xml:space="preserve">) fueron las siguientes:</w:t>
      </w:r>
    </w:p>
    <w:p>
      <w:pPr>
        <w:numPr>
          <w:ilvl w:val="0"/>
          <w:numId w:val="1001"/>
        </w:numPr>
      </w:pPr>
      <w:r>
        <w:t xml:space="preserve">Identificación de los indicadores disponibles, asignándolos en nuestro marco conceptual a la dimensión correspondiente. Se valoraron inicialmente las variables censales que podían considerarse candidatas a detectar diferencias socioeconómicas y de privación en el sentido expuesto en la introducción, intentando proporcionar validez de contenido al futuro índice.</w:t>
      </w:r>
    </w:p>
    <w:p>
      <w:pPr>
        <w:numPr>
          <w:ilvl w:val="0"/>
          <w:numId w:val="1001"/>
        </w:numPr>
      </w:pPr>
      <w:r>
        <w:t xml:space="preserve">Estudio de las correlaciones entre los indicadores socioeconómicos.</w:t>
      </w:r>
    </w:p>
    <w:p>
      <w:pPr>
        <w:numPr>
          <w:ilvl w:val="0"/>
          <w:numId w:val="1001"/>
        </w:numPr>
      </w:pPr>
      <w:r>
        <w:t xml:space="preserve">Análisis de las correlaciones entre los indicadores contemplados inicialmente para su posible inclusión en el índice y el análisis dimensional de éstos. Se usó el análisis de componentes principales, con la extracción de distintas componentes, para identificar las variables que podrían combinarse en un índice, estableciendo la estructura de correlaciones entre ellas. La interpretación de los factores se llevó a cabo sobre la solución rotada ortogonalmente según el método varimax.</w:t>
      </w:r>
    </w:p>
    <w:p>
      <w:pPr>
        <w:numPr>
          <w:ilvl w:val="0"/>
          <w:numId w:val="1001"/>
        </w:numPr>
      </w:pPr>
      <w:r>
        <w:t xml:space="preserve">Agregación de los indicadores seleccionados en el primer componente del análisis anterior mediante la extracción de un único eje por componentes principales.</w:t>
      </w:r>
    </w:p>
    <w:p>
      <w:pPr>
        <w:pStyle w:val="FirstParagraph"/>
      </w:pPr>
      <w:r>
        <w:t xml:space="preserve">La construcción del índice de privación resulta de la combinación de los siguientes indicadores:</w:t>
      </w:r>
    </w:p>
    <w:p>
      <w:pPr>
        <w:numPr>
          <w:ilvl w:val="0"/>
          <w:numId w:val="1002"/>
        </w:numPr>
      </w:pPr>
      <w:r>
        <w:t xml:space="preserve">Porcentaje de población en paro.</w:t>
      </w:r>
    </w:p>
    <w:p>
      <w:pPr>
        <w:numPr>
          <w:ilvl w:val="0"/>
          <w:numId w:val="1002"/>
        </w:numPr>
      </w:pPr>
      <w:r>
        <w:t xml:space="preserve">Porcentaje de asalariados eventuales.</w:t>
      </w:r>
    </w:p>
    <w:p>
      <w:pPr>
        <w:numPr>
          <w:ilvl w:val="0"/>
          <w:numId w:val="1002"/>
        </w:numPr>
      </w:pPr>
      <w:r>
        <w:t xml:space="preserve">Porcentaje de trabajadores manuales</w:t>
      </w:r>
    </w:p>
    <w:p>
      <w:pPr>
        <w:numPr>
          <w:ilvl w:val="0"/>
          <w:numId w:val="1002"/>
        </w:numPr>
      </w:pPr>
      <w:r>
        <w:t xml:space="preserve">Porcentaje de población con instrucción insuficiente.</w:t>
      </w:r>
    </w:p>
    <w:p>
      <w:pPr>
        <w:numPr>
          <w:ilvl w:val="0"/>
          <w:numId w:val="1002"/>
        </w:numPr>
      </w:pPr>
      <w:r>
        <w:t xml:space="preserve">Porcentaje de población juvenil con instrucción insuficiente,</w:t>
      </w:r>
    </w:p>
    <w:p>
      <w:pPr>
        <w:pStyle w:val="FirstParagraph"/>
      </w:pPr>
      <w:r>
        <w:t xml:space="preserve">usando como valores de peso los de las saturaciones obtenidas en esta extracción.</w:t>
      </w:r>
    </w:p>
    <w:bookmarkEnd w:id="37"/>
    <w:bookmarkStart w:id="39" w:name="X69495f824d69c9f152857c07f7f22ab4fe6b9ee"/>
    <w:p>
      <w:pPr>
        <w:pStyle w:val="Heading2"/>
      </w:pPr>
      <w:r>
        <w:t xml:space="preserve">Atlas de la Vulnerabilidad Urbana en España 2001 y 2011</w:t>
      </w:r>
    </w:p>
    <w:p>
      <w:pPr>
        <w:pStyle w:val="FirstParagraph"/>
      </w:pPr>
      <w:r>
        <w:t xml:space="preserve">El Atlas de la Vulnerabilidad Urbana en España 2001 y 2011 (Ministerio de Fomento,2015) es una aplicación web que ofrece información estadística a nivel de sección censal y en todos los municipios de España acerca de diversas variables referidas a la vulnerabilidad urbana, generando mapas temáticos de diferentes indicadores. El Atlas se ha realizado a partir de los datos de los Censos de Población y Vivienda del Instituto Nacional de Estadística (INE) de los años 2001 y 2011.</w:t>
      </w:r>
    </w:p>
    <w:p>
      <w:pPr>
        <w:pStyle w:val="BodyText"/>
      </w:pPr>
      <w:r>
        <w:t xml:space="preserve">En el atlas se presentan 57 mapas temáticos, correspondientes a 24 Indicadores de Vulnerabilidad Urbana y a 33 variables estadísticas complementarias. Los Indicadores de Vulnerabilidad son datos relativos, expresados mediante porcentajes, y se representan con mapas de coropletas. Las variables estadísticas ofrecen valores absolutos (población, viviendas, etc.), y se representan mediante símbolos que pueden superponerse a las coropletas.</w:t>
      </w:r>
    </w:p>
    <w:p>
      <w:pPr>
        <w:pStyle w:val="BodyText"/>
      </w:pPr>
      <w:r>
        <w:t xml:space="preserve">Los mapas de los indicadores de vulnerabilidad urbana se organizan en 4 temas:</w:t>
      </w:r>
    </w:p>
    <w:p>
      <w:pPr>
        <w:pStyle w:val="BodyText"/>
      </w:pPr>
      <w:r>
        <w:t xml:space="preserve">Vulnerabilidad Sociodemográfica (5 indicadores y 8 variables),</w:t>
      </w:r>
    </w:p>
    <w:p>
      <w:pPr>
        <w:pStyle w:val="BodyText"/>
      </w:pPr>
      <w:r>
        <w:t xml:space="preserve">Vulnerabilidad Socioeconómica (6 indicadores y 10 variables),</w:t>
      </w:r>
    </w:p>
    <w:p>
      <w:pPr>
        <w:pStyle w:val="BodyText"/>
      </w:pPr>
      <w:r>
        <w:t xml:space="preserve">Vulnerabilidad Residencial (8 indicadores y 9 variables) y</w:t>
      </w:r>
    </w:p>
    <w:p>
      <w:pPr>
        <w:pStyle w:val="BodyText"/>
      </w:pPr>
      <w:r>
        <w:t xml:space="preserve">Vulnerabilidad Subjetiva (5 indicadores y 6 variables, que sólo están disponibles para el Censo de 2001).</w:t>
      </w:r>
    </w:p>
    <w:p>
      <w:pPr>
        <w:pStyle w:val="BodyText"/>
      </w:pPr>
      <w:r>
        <w:t xml:space="preserve">De los 24 Indicadores, se consideran Indicadores Básicos de Vulnerabilidad Urbana (IBVU) los siguientes:</w:t>
      </w:r>
    </w:p>
    <w:p>
      <w:pPr>
        <w:pStyle w:val="BodyText"/>
      </w:pPr>
      <w:r>
        <w:t xml:space="preserve">Porcentaje de población en paro y Porcentaje de población sin estudios, que son comunes para 2001 y 2011 y Porcentaje de población en viviendas sin servicio o aseo, como indicador de las carencias en las viviendas en 2001, sustituido por el Porcentaje de viviendas en edificios en estado de conservación ruinoso,malo o deficiente para la fecha de referencia de 2011.</w:t>
      </w:r>
    </w:p>
    <w:p>
      <w:pPr>
        <w:pStyle w:val="BodyText"/>
      </w:pPr>
      <w:r>
        <w:t xml:space="preserve">Los Indicadores Básicos de Vulnerabilidad Urbana (IBVU) que se han empleado en el Análisis Urbanístico de Barrios Vulnerables en España para la identificación de barrios vulnerables. Estos barrios se identifican cuando estos indicadores superan –en las secciones censales que los componen- unos determinados valores de referencia con respecto a los valores medios nacionales.</w:t>
      </w:r>
    </w:p>
    <w:p>
      <w:pPr>
        <w:pStyle w:val="BodyText"/>
      </w:pPr>
      <w:r>
        <w:t xml:space="preserve">El listado de indicadores de vulnerabilidad urbana, según temas, que pueden consultarse en la aplicación web :</w:t>
      </w:r>
      <w:r>
        <w:t xml:space="preserve"> </w:t>
      </w:r>
      <w:hyperlink r:id="rId38">
        <w:r>
          <w:rPr>
            <w:rStyle w:val="Hyperlink"/>
          </w:rPr>
          <w:t xml:space="preserve">https://www.mitma.gob.es/areas-de-actividad/arquitectura-vivienda-y-suelo/urbanismo-y-politica-de-suelo/observatorio-de-la-vulnerabilidad-urbana/atlas-de-la-vulnerabilidad-urbana/atlas-de-las-vulnerabilidad-urbana-en-espan%CC%83a</w:t>
        </w:r>
      </w:hyperlink>
    </w:p>
    <w:bookmarkEnd w:id="39"/>
    <w:bookmarkStart w:id="54" w:name="Xaa214893690f76c04f370b327a572d32165e393"/>
    <w:p>
      <w:pPr>
        <w:pStyle w:val="Heading2"/>
      </w:pPr>
      <w:r>
        <w:t xml:space="preserve">Indice de Privación Multidimensional de Cantabria</w:t>
      </w:r>
    </w:p>
    <w:p>
      <w:pPr>
        <w:pStyle w:val="FirstParagraph"/>
      </w:pPr>
      <w:r>
        <w:t xml:space="preserve">La construcción de un indicador se suele basar en 3 fases:</w:t>
      </w:r>
    </w:p>
    <w:p>
      <w:pPr>
        <w:numPr>
          <w:ilvl w:val="0"/>
          <w:numId w:val="1003"/>
        </w:numPr>
      </w:pPr>
      <w:r>
        <w:t xml:space="preserve">selección de los indicadores o variables a incluir;</w:t>
      </w:r>
    </w:p>
    <w:p>
      <w:pPr>
        <w:numPr>
          <w:ilvl w:val="0"/>
          <w:numId w:val="1003"/>
        </w:numPr>
      </w:pPr>
      <w:r>
        <w:t xml:space="preserve">definición de las dimensiones conceptuales o dominios, medidos por uno o más indicadores, y</w:t>
      </w:r>
    </w:p>
    <w:p>
      <w:pPr>
        <w:numPr>
          <w:ilvl w:val="0"/>
          <w:numId w:val="1003"/>
        </w:numPr>
      </w:pPr>
      <w:r>
        <w:t xml:space="preserve">definición del índice, constituido por varias dimensiones.</w:t>
      </w:r>
    </w:p>
    <w:p>
      <w:pPr>
        <w:pStyle w:val="FirstParagraph"/>
      </w:pPr>
      <w:r>
        <w:t xml:space="preserve">La experiencia acumulada en la elaboración de indicadores a niveles censales en España, y la disponibilidad de estadísticos a estos niveles para la ciudad de Santander, determina que en Cantabria optemos por construir un indicador a partir de los siguientes indicadores individuales y dominios:</w:t>
      </w:r>
    </w:p>
    <w:p>
      <w:pPr>
        <w:numPr>
          <w:ilvl w:val="0"/>
          <w:numId w:val="1004"/>
        </w:numPr>
        <w:pStyle w:val="Compact"/>
      </w:pPr>
      <w:r>
        <w:t xml:space="preserve">Vulnerabilidad demográfica</w:t>
      </w:r>
    </w:p>
    <w:p>
      <w:pPr>
        <w:pStyle w:val="FirstParagraph"/>
      </w:pPr>
      <w:r>
        <w:t xml:space="preserve">Porcentaje de población de 75 años y más.</w:t>
      </w:r>
    </w:p>
    <w:p>
      <w:pPr>
        <w:pStyle w:val="BodyText"/>
      </w:pPr>
      <w:r>
        <w:t xml:space="preserve">Porcentaje de hogares unipersonales de mayores de 64 años</w:t>
      </w:r>
    </w:p>
    <w:p>
      <w:pPr>
        <w:pStyle w:val="BodyText"/>
      </w:pPr>
      <w:r>
        <w:t xml:space="preserve">Porcentaje de hogares con un adulto y un menor o más.</w:t>
      </w:r>
    </w:p>
    <w:p>
      <w:pPr>
        <w:pStyle w:val="BodyText"/>
      </w:pPr>
      <w:r>
        <w:t xml:space="preserve">Porcentaje de población extranjera.</w:t>
      </w:r>
    </w:p>
    <w:p>
      <w:pPr>
        <w:pStyle w:val="BodyText"/>
      </w:pPr>
      <w:r>
        <w:t xml:space="preserve">Porcentaje de población extranjera infantil.</w:t>
      </w:r>
    </w:p>
    <w:p>
      <w:pPr>
        <w:numPr>
          <w:ilvl w:val="0"/>
          <w:numId w:val="1005"/>
        </w:numPr>
        <w:pStyle w:val="Compact"/>
      </w:pPr>
      <w:r>
        <w:t xml:space="preserve">Vulnerabilidad de vivienda</w:t>
      </w:r>
    </w:p>
    <w:p>
      <w:pPr>
        <w:pStyle w:val="FirstParagraph"/>
      </w:pPr>
      <w:r>
        <w:t xml:space="preserve">Porcentaje de viviendas con menos de 30 m²</w:t>
      </w:r>
    </w:p>
    <w:p>
      <w:pPr>
        <w:pStyle w:val="BodyText"/>
      </w:pPr>
      <w:r>
        <w:t xml:space="preserve">Superficie media por habitante (m²).</w:t>
      </w:r>
    </w:p>
    <w:p>
      <w:pPr>
        <w:pStyle w:val="BodyText"/>
      </w:pPr>
      <w:r>
        <w:t xml:space="preserve">Porcentaje de población en viviendas sin servicio o aseo.</w:t>
      </w:r>
    </w:p>
    <w:p>
      <w:pPr>
        <w:pStyle w:val="BodyText"/>
      </w:pPr>
      <w:r>
        <w:t xml:space="preserve">Porcentaje de población en viviendas sin calefación.</w:t>
      </w:r>
    </w:p>
    <w:p>
      <w:pPr>
        <w:pStyle w:val="BodyText"/>
      </w:pPr>
      <w:r>
        <w:t xml:space="preserve">Porcentaje viviendas en edificios anteriores a 1951.</w:t>
      </w:r>
    </w:p>
    <w:p>
      <w:pPr>
        <w:pStyle w:val="BodyText"/>
      </w:pPr>
      <w:r>
        <w:t xml:space="preserve">Porcentaje de viviendas en alquiler o cesion.</w:t>
      </w:r>
    </w:p>
    <w:p>
      <w:pPr>
        <w:numPr>
          <w:ilvl w:val="0"/>
          <w:numId w:val="1006"/>
        </w:numPr>
        <w:pStyle w:val="Compact"/>
      </w:pPr>
      <w:r>
        <w:t xml:space="preserve">Vulnerabilidad social (indicador Medea)</w:t>
      </w:r>
    </w:p>
    <w:p>
      <w:pPr>
        <w:pStyle w:val="FirstParagraph"/>
      </w:pPr>
      <w:r>
        <w:t xml:space="preserve">Porcentaje de población en paro.</w:t>
      </w:r>
    </w:p>
    <w:p>
      <w:pPr>
        <w:pStyle w:val="BodyText"/>
      </w:pPr>
      <w:r>
        <w:t xml:space="preserve">Porcentaje de asalariados eventuales.</w:t>
      </w:r>
    </w:p>
    <w:p>
      <w:pPr>
        <w:pStyle w:val="BodyText"/>
      </w:pPr>
      <w:r>
        <w:t xml:space="preserve">Porcentaje de trabajadores manuales</w:t>
      </w:r>
    </w:p>
    <w:p>
      <w:pPr>
        <w:pStyle w:val="BodyText"/>
      </w:pPr>
      <w:r>
        <w:t xml:space="preserve">Porcentaje de población sin estudios.</w:t>
      </w:r>
    </w:p>
    <w:p>
      <w:pPr>
        <w:pStyle w:val="BodyText"/>
      </w:pPr>
      <w:r>
        <w:t xml:space="preserve">Porcentaje de población juvenil sin estudios.</w:t>
      </w:r>
    </w:p>
    <w:p>
      <w:pPr>
        <w:numPr>
          <w:ilvl w:val="0"/>
          <w:numId w:val="1007"/>
        </w:numPr>
        <w:pStyle w:val="Compact"/>
      </w:pPr>
      <w:r>
        <w:t xml:space="preserve">Pobreza monetaria</w:t>
      </w:r>
    </w:p>
    <w:p>
      <w:pPr>
        <w:pStyle w:val="FirstParagraph"/>
      </w:pPr>
      <w:r>
        <w:t xml:space="preserve">Porcentaje de población que cobra la Renta Social Básica</w:t>
      </w:r>
    </w:p>
    <w:p>
      <w:pPr>
        <w:pStyle w:val="BodyText"/>
      </w:pPr>
      <w:r>
        <w:t xml:space="preserve">Porcentaje de población que cobra pensiones no contributivas</w:t>
      </w:r>
    </w:p>
    <w:bookmarkStart w:id="42" w:name="indicador-demográfico-2001"/>
    <w:p>
      <w:pPr>
        <w:pStyle w:val="Heading3"/>
      </w:pPr>
      <w:r>
        <w:t xml:space="preserve">Indicador demográfico 2001</w:t>
      </w:r>
    </w:p>
    <w:p>
      <w:pPr>
        <w:pStyle w:val="FirstParagraph"/>
      </w:pPr>
      <w:r>
        <w:t xml:space="preserve">Para elaborar el indicador de vivienda se usa el análisis de componentes principales, con la extracción de la primera componente principal, para reducir la dimensión de los indicadores en un solo índice.</w:t>
      </w:r>
    </w:p>
    <w:p>
      <w:pPr>
        <w:pStyle w:val="BodyText"/>
      </w:pPr>
      <w:r>
        <w:t xml:space="preserve">La prueba de esfericidad de Bartlett evalúa la aplicabilidad del análisis de componentes principales o factorial de las variables estudiadas. El modelo es significativo (aceptamos la hipótesis nula, H0) cuando se puede aplicar el análisis factorial:</w:t>
      </w:r>
    </w:p>
    <w:p>
      <w:pPr>
        <w:pStyle w:val="SourceCode"/>
      </w:pPr>
      <w:r>
        <w:rPr>
          <w:rStyle w:val="VerbatimChar"/>
        </w:rPr>
        <w:t xml:space="preserve">## chi.square value  235.0249  on  10  degrees of freedom.  p-value:  0</w:t>
      </w:r>
    </w:p>
    <w:p>
      <w:pPr>
        <w:pStyle w:val="FirstParagraph"/>
      </w:pPr>
      <w:r>
        <w:t xml:space="preserve">como el p-valor de la prueba es menor de 0.05 aceptamos H0 (hipótesis nula), y por tanto se puede aplicar el análisis de componentes principales y factorial.</w:t>
      </w:r>
    </w:p>
    <w:p>
      <w:pPr>
        <w:pStyle w:val="BodyText"/>
      </w:pPr>
      <w:r>
        <w:t xml:space="preserve">Calculo los componentes principales basados en la matriz de correlaciones</w:t>
      </w:r>
    </w:p>
    <w:p>
      <w:pPr>
        <w:pStyle w:val="BodyText"/>
      </w:pPr>
      <w:r>
        <w:drawing>
          <wp:inline>
            <wp:extent cx="4620126" cy="3696101"/>
            <wp:effectExtent b="0" l="0" r="0" t="0"/>
            <wp:docPr descr="" title="" id="1" name="Picture"/>
            <a:graphic>
              <a:graphicData uri="http://schemas.openxmlformats.org/drawingml/2006/picture">
                <pic:pic>
                  <pic:nvPicPr>
                    <pic:cNvPr descr="articulo_proyecto_medea_RMS_final_4_files/figure-docx/unnamed-chunk-19-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Importance of components:</w:t>
      </w:r>
      <w:r>
        <w:br/>
      </w:r>
      <w:r>
        <w:rPr>
          <w:rStyle w:val="VerbatimChar"/>
        </w:rPr>
        <w:t xml:space="preserve">##                           Comp.1    Comp.2    Comp.3     Comp.4    Comp.5</w:t>
      </w:r>
      <w:r>
        <w:br/>
      </w:r>
      <w:r>
        <w:rPr>
          <w:rStyle w:val="VerbatimChar"/>
        </w:rPr>
        <w:t xml:space="preserve">## Standard deviation     1.5304834 1.1660168 0.9024325 0.53697752 0.4419231</w:t>
      </w:r>
      <w:r>
        <w:br/>
      </w:r>
      <w:r>
        <w:rPr>
          <w:rStyle w:val="VerbatimChar"/>
        </w:rPr>
        <w:t xml:space="preserve">## Proportion of Variance 0.4684759 0.2719190 0.1628769 0.05766897 0.0390592</w:t>
      </w:r>
      <w:r>
        <w:br/>
      </w:r>
      <w:r>
        <w:rPr>
          <w:rStyle w:val="VerbatimChar"/>
        </w:rPr>
        <w:t xml:space="preserve">## Cumulative Proportion  0.4684759 0.7403949 0.9032718 0.96094080 1.0000000</w:t>
      </w:r>
      <w:r>
        <w:br/>
      </w:r>
      <w:r>
        <w:rPr>
          <w:rStyle w:val="VerbatimChar"/>
        </w:rPr>
        <w:t xml:space="preserve">## </w:t>
      </w:r>
      <w:r>
        <w:br/>
      </w:r>
      <w:r>
        <w:rPr>
          <w:rStyle w:val="VerbatimChar"/>
        </w:rPr>
        <w:t xml:space="preserve">## Loadings:</w:t>
      </w:r>
      <w:r>
        <w:br/>
      </w:r>
      <w:r>
        <w:rPr>
          <w:rStyle w:val="VerbatimChar"/>
        </w:rPr>
        <w:t xml:space="preserve">##               Comp.1 Comp.2 Comp.3 Comp.4 Comp.5</w:t>
      </w:r>
      <w:r>
        <w:br/>
      </w:r>
      <w:r>
        <w:rPr>
          <w:rStyle w:val="VerbatimChar"/>
        </w:rPr>
        <w:t xml:space="preserve">## X75_2001       0.513  0.376  0.350         0.688</w:t>
      </w:r>
      <w:r>
        <w:br/>
      </w:r>
      <w:r>
        <w:rPr>
          <w:rStyle w:val="VerbatimChar"/>
        </w:rPr>
        <w:t xml:space="preserve">## HOG_64_2001    0.542  0.334  0.269        -0.723</w:t>
      </w:r>
      <w:r>
        <w:br/>
      </w:r>
      <w:r>
        <w:rPr>
          <w:rStyle w:val="VerbatimChar"/>
        </w:rPr>
        <w:t xml:space="preserve">## HOG_MONO_2001 -0.268 -0.376  0.886              </w:t>
      </w:r>
      <w:r>
        <w:br/>
      </w:r>
      <w:r>
        <w:rPr>
          <w:rStyle w:val="VerbatimChar"/>
        </w:rPr>
        <w:t xml:space="preserve">## EXT_2001       0.434 -0.546 -0.102 -0.707       </w:t>
      </w:r>
      <w:r>
        <w:br/>
      </w:r>
      <w:r>
        <w:rPr>
          <w:rStyle w:val="VerbatimChar"/>
        </w:rPr>
        <w:t xml:space="preserve">## EXT_MEN_2001   0.429 -0.554 -0.101  0.706</w:t>
      </w:r>
    </w:p>
    <w:p>
      <w:pPr>
        <w:pStyle w:val="FirstParagraph"/>
      </w:pPr>
      <w:r>
        <w:t xml:space="preserve">En la Figura nº 8 se Cartografían los resultados obtenidos.</w:t>
      </w:r>
    </w:p>
    <w:p>
      <w:pPr>
        <w:pStyle w:val="BodyText"/>
      </w:pPr>
      <w:r>
        <w:drawing>
          <wp:inline>
            <wp:extent cx="4620126" cy="3696101"/>
            <wp:effectExtent b="0" l="0" r="0" t="0"/>
            <wp:docPr descr="" title="" id="1" name="Picture"/>
            <a:graphic>
              <a:graphicData uri="http://schemas.openxmlformats.org/drawingml/2006/picture">
                <pic:pic>
                  <pic:nvPicPr>
                    <pic:cNvPr descr="articulo_proyecto_medea_RMS_final_4_files/figure-docx/unnamed-chunk-20-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Start w:id="45" w:name="indicador-demográfico-2011"/>
    <w:p>
      <w:pPr>
        <w:pStyle w:val="Heading3"/>
      </w:pPr>
      <w:r>
        <w:t xml:space="preserve">Indicador demográfico 2011</w:t>
      </w:r>
    </w:p>
    <w:p>
      <w:pPr>
        <w:pStyle w:val="FirstParagraph"/>
      </w:pPr>
      <w:r>
        <w:t xml:space="preserve">Para elaborar el indicador de vivienda se usa el análisis de componentes principales, con la extracción de la primera componente principal, para reducir la dimensión de los indicadores en un solo índice.</w:t>
      </w:r>
    </w:p>
    <w:p>
      <w:pPr>
        <w:pStyle w:val="BodyText"/>
      </w:pPr>
      <w:r>
        <w:t xml:space="preserve">La prueba de esfericidad de Bartlett evalúa la aplicabilidad del análisis de componentes principales o factorial de las variables estudiadas. El modelo es significativo (aceptamos la hipótesis nula, H0) cuando se puede aplicar el análisis factorial:</w:t>
      </w:r>
    </w:p>
    <w:p>
      <w:pPr>
        <w:pStyle w:val="SourceCode"/>
      </w:pPr>
      <w:r>
        <w:rPr>
          <w:rStyle w:val="VerbatimChar"/>
        </w:rPr>
        <w:t xml:space="preserve">## chi.square value  85.40357  on  10  degrees of freedom.  p-value:  4.340972e-14</w:t>
      </w:r>
    </w:p>
    <w:p>
      <w:pPr>
        <w:pStyle w:val="FirstParagraph"/>
      </w:pPr>
      <w:r>
        <w:t xml:space="preserve">como el p-valor de la prueba es menor de 0.05 aceptamos H0 (hipótesis nula), y por tanto se puede aplicar el análisis de componentes principales y factorial.</w:t>
      </w:r>
    </w:p>
    <w:p>
      <w:pPr>
        <w:pStyle w:val="BodyText"/>
      </w:pPr>
      <w:r>
        <w:t xml:space="preserve">Calculo los componentes principales basados en la matriz de correlaciones</w:t>
      </w:r>
    </w:p>
    <w:p>
      <w:pPr>
        <w:pStyle w:val="BodyText"/>
      </w:pPr>
      <w:r>
        <w:drawing>
          <wp:inline>
            <wp:extent cx="4620126" cy="3696101"/>
            <wp:effectExtent b="0" l="0" r="0" t="0"/>
            <wp:docPr descr="" title="" id="1" name="Picture"/>
            <a:graphic>
              <a:graphicData uri="http://schemas.openxmlformats.org/drawingml/2006/picture">
                <pic:pic>
                  <pic:nvPicPr>
                    <pic:cNvPr descr="articulo_proyecto_medea_RMS_final_4_files/figure-docx/unnamed-chunk-22-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Importance of components:</w:t>
      </w:r>
      <w:r>
        <w:br/>
      </w:r>
      <w:r>
        <w:rPr>
          <w:rStyle w:val="VerbatimChar"/>
        </w:rPr>
        <w:t xml:space="preserve">##                           Comp.1    Comp.2    Comp.3    Comp.4     Comp.5</w:t>
      </w:r>
      <w:r>
        <w:br/>
      </w:r>
      <w:r>
        <w:rPr>
          <w:rStyle w:val="VerbatimChar"/>
        </w:rPr>
        <w:t xml:space="preserve">## Standard deviation     1.3863320 1.0217260 0.9933872 0.8221514 0.60943287</w:t>
      </w:r>
      <w:r>
        <w:br/>
      </w:r>
      <w:r>
        <w:rPr>
          <w:rStyle w:val="VerbatimChar"/>
        </w:rPr>
        <w:t xml:space="preserve">## Proportion of Variance 0.3843833 0.2087848 0.1973636 0.1351866 0.07428168</w:t>
      </w:r>
      <w:r>
        <w:br/>
      </w:r>
      <w:r>
        <w:rPr>
          <w:rStyle w:val="VerbatimChar"/>
        </w:rPr>
        <w:t xml:space="preserve">## Cumulative Proportion  0.3843833 0.5931681 0.7905317 0.9257183 1.00000000</w:t>
      </w:r>
      <w:r>
        <w:br/>
      </w:r>
      <w:r>
        <w:rPr>
          <w:rStyle w:val="VerbatimChar"/>
        </w:rPr>
        <w:t xml:space="preserve">## </w:t>
      </w:r>
      <w:r>
        <w:br/>
      </w:r>
      <w:r>
        <w:rPr>
          <w:rStyle w:val="VerbatimChar"/>
        </w:rPr>
        <w:t xml:space="preserve">## Loadings:</w:t>
      </w:r>
      <w:r>
        <w:br/>
      </w:r>
      <w:r>
        <w:rPr>
          <w:rStyle w:val="VerbatimChar"/>
        </w:rPr>
        <w:t xml:space="preserve">##               Comp.1 Comp.2 Comp.3 Comp.4 Comp.5</w:t>
      </w:r>
      <w:r>
        <w:br/>
      </w:r>
      <w:r>
        <w:rPr>
          <w:rStyle w:val="VerbatimChar"/>
        </w:rPr>
        <w:t xml:space="preserve">## X75_2011       0.617         0.178  0.227  0.729</w:t>
      </w:r>
      <w:r>
        <w:br/>
      </w:r>
      <w:r>
        <w:rPr>
          <w:rStyle w:val="VerbatimChar"/>
        </w:rPr>
        <w:t xml:space="preserve">## HOG_64_2011    0.602                0.460 -0.650</w:t>
      </w:r>
      <w:r>
        <w:br/>
      </w:r>
      <w:r>
        <w:rPr>
          <w:rStyle w:val="VerbatimChar"/>
        </w:rPr>
        <w:t xml:space="preserve">## HOG_MONO_2011 -0.205 -0.829  0.252  0.452       </w:t>
      </w:r>
      <w:r>
        <w:br/>
      </w:r>
      <w:r>
        <w:rPr>
          <w:rStyle w:val="VerbatimChar"/>
        </w:rPr>
        <w:t xml:space="preserve">## EXT_2011       0.145 -0.318 -0.926         0.141</w:t>
      </w:r>
      <w:r>
        <w:br/>
      </w:r>
      <w:r>
        <w:rPr>
          <w:rStyle w:val="VerbatimChar"/>
        </w:rPr>
        <w:t xml:space="preserve">## EXT_MEN_2011  -0.440  0.451 -0.216  0.730  0.152</w:t>
      </w:r>
    </w:p>
    <w:p>
      <w:pPr>
        <w:pStyle w:val="FirstParagraph"/>
      </w:pPr>
      <w:r>
        <w:t xml:space="preserve">En la Figura nº 10 se Cartografían los resultados obtenidos.</w:t>
      </w:r>
    </w:p>
    <w:p>
      <w:pPr>
        <w:pStyle w:val="BodyText"/>
      </w:pPr>
      <w:r>
        <w:drawing>
          <wp:inline>
            <wp:extent cx="4620126" cy="3696101"/>
            <wp:effectExtent b="0" l="0" r="0" t="0"/>
            <wp:docPr descr="" title="" id="1" name="Picture"/>
            <a:graphic>
              <a:graphicData uri="http://schemas.openxmlformats.org/drawingml/2006/picture">
                <pic:pic>
                  <pic:nvPicPr>
                    <pic:cNvPr descr="articulo_proyecto_medea_RMS_final_4_files/figure-docx/unnamed-chunk-23-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5"/>
    <w:bookmarkStart w:id="48" w:name="indicador-vivienda-2001"/>
    <w:p>
      <w:pPr>
        <w:pStyle w:val="Heading3"/>
      </w:pPr>
      <w:r>
        <w:t xml:space="preserve">Indicador vivienda 2001</w:t>
      </w:r>
    </w:p>
    <w:p>
      <w:pPr>
        <w:pStyle w:val="FirstParagraph"/>
      </w:pPr>
      <w:r>
        <w:t xml:space="preserve">Para elaborar el indicador de vivienda se usa el análisis de componentes principales, con la extracción de la primera componente principal, para reducir la dimensión de los indicadores en un solo índice.</w:t>
      </w:r>
    </w:p>
    <w:p>
      <w:pPr>
        <w:pStyle w:val="BodyText"/>
      </w:pPr>
      <w:r>
        <w:t xml:space="preserve">La prueba de esfericidad de Bartlett evalúa la aplicabilidad del análisis de componentes principales o factorial de las variables estudiadas. El modelo es significativo (aceptamos la hipótesis nula, H0) cuando se puede aplicar el análisis factorial:</w:t>
      </w:r>
    </w:p>
    <w:p>
      <w:pPr>
        <w:pStyle w:val="SourceCode"/>
      </w:pPr>
      <w:r>
        <w:rPr>
          <w:rStyle w:val="VerbatimChar"/>
        </w:rPr>
        <w:t xml:space="preserve">## chi.square value  46.34824  on  10  degrees of freedom.  p-value:  1.240194e-06</w:t>
      </w:r>
    </w:p>
    <w:p>
      <w:pPr>
        <w:pStyle w:val="FirstParagraph"/>
      </w:pPr>
      <w:r>
        <w:t xml:space="preserve">como el p-valor de la prueba es menor de 0.05 aceptamos H0 (hipótesis nula), y por tanto se puede aplicar el análisis de componentes principales y factorial.</w:t>
      </w:r>
    </w:p>
    <w:p>
      <w:pPr>
        <w:pStyle w:val="BodyText"/>
      </w:pPr>
      <w:r>
        <w:t xml:space="preserve">Calculo los componentes principales basados en la matriz de correlaciones</w:t>
      </w:r>
    </w:p>
    <w:p>
      <w:pPr>
        <w:pStyle w:val="BodyText"/>
      </w:pPr>
      <w:r>
        <w:drawing>
          <wp:inline>
            <wp:extent cx="4620126" cy="3696101"/>
            <wp:effectExtent b="0" l="0" r="0" t="0"/>
            <wp:docPr descr="" title="" id="1" name="Picture"/>
            <a:graphic>
              <a:graphicData uri="http://schemas.openxmlformats.org/drawingml/2006/picture">
                <pic:pic>
                  <pic:nvPicPr>
                    <pic:cNvPr descr="articulo_proyecto_medea_RMS_final_4_files/figure-docx/unnamed-chunk-25-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Importance of components:</w:t>
      </w:r>
      <w:r>
        <w:br/>
      </w:r>
      <w:r>
        <w:rPr>
          <w:rStyle w:val="VerbatimChar"/>
        </w:rPr>
        <w:t xml:space="preserve">##                           Comp.1    Comp.2    Comp.3    Comp.4     Comp.5</w:t>
      </w:r>
      <w:r>
        <w:br/>
      </w:r>
      <w:r>
        <w:rPr>
          <w:rStyle w:val="VerbatimChar"/>
        </w:rPr>
        <w:t xml:space="preserve">## Standard deviation     1.2744839 1.0301705 0.9982109 0.9211370 0.68521597</w:t>
      </w:r>
      <w:r>
        <w:br/>
      </w:r>
      <w:r>
        <w:rPr>
          <w:rStyle w:val="VerbatimChar"/>
        </w:rPr>
        <w:t xml:space="preserve">## Proportion of Variance 0.3248619 0.2122503 0.1992850 0.1696987 0.09390419</w:t>
      </w:r>
      <w:r>
        <w:br/>
      </w:r>
      <w:r>
        <w:rPr>
          <w:rStyle w:val="VerbatimChar"/>
        </w:rPr>
        <w:t xml:space="preserve">## Cumulative Proportion  0.3248619 0.5371121 0.7363971 0.9060958 1.00000000</w:t>
      </w:r>
      <w:r>
        <w:br/>
      </w:r>
      <w:r>
        <w:rPr>
          <w:rStyle w:val="VerbatimChar"/>
        </w:rPr>
        <w:t xml:space="preserve">## </w:t>
      </w:r>
      <w:r>
        <w:br/>
      </w:r>
      <w:r>
        <w:rPr>
          <w:rStyle w:val="VerbatimChar"/>
        </w:rPr>
        <w:t xml:space="preserve">## Loadings:</w:t>
      </w:r>
      <w:r>
        <w:br/>
      </w:r>
      <w:r>
        <w:rPr>
          <w:rStyle w:val="VerbatimChar"/>
        </w:rPr>
        <w:t xml:space="preserve">##                Comp.1 Comp.2 Comp.3 Comp.4 Comp.5</w:t>
      </w:r>
      <w:r>
        <w:br/>
      </w:r>
      <w:r>
        <w:rPr>
          <w:rStyle w:val="VerbatimChar"/>
        </w:rPr>
        <w:t xml:space="preserve">## viv_30_01       0.435  0.244         0.852  0.149</w:t>
      </w:r>
      <w:r>
        <w:br/>
      </w:r>
      <w:r>
        <w:rPr>
          <w:rStyle w:val="VerbatimChar"/>
        </w:rPr>
        <w:t xml:space="preserve">## SUP_Hab_01      0.184 -0.857  0.323         0.351</w:t>
      </w:r>
      <w:r>
        <w:br/>
      </w:r>
      <w:r>
        <w:rPr>
          <w:rStyle w:val="VerbatimChar"/>
        </w:rPr>
        <w:t xml:space="preserve">## Aseo_01         0.144  0.386  0.861 -0.269  0.127</w:t>
      </w:r>
      <w:r>
        <w:br/>
      </w:r>
      <w:r>
        <w:rPr>
          <w:rStyle w:val="VerbatimChar"/>
        </w:rPr>
        <w:t xml:space="preserve">## viv_estado_01   0.565  0.178 -0.388 -0.412  0.574</w:t>
      </w:r>
      <w:r>
        <w:br/>
      </w:r>
      <w:r>
        <w:rPr>
          <w:rStyle w:val="VerbatimChar"/>
        </w:rPr>
        <w:t xml:space="preserve">## viv_añocons_01  0.661 -0.158        -0.168 -0.714</w:t>
      </w:r>
    </w:p>
    <w:p>
      <w:pPr>
        <w:pStyle w:val="FirstParagraph"/>
      </w:pPr>
      <w:r>
        <w:t xml:space="preserve">En la Figura nº 12 se Cartografían los resultados obtenidos.</w:t>
      </w:r>
    </w:p>
    <w:p>
      <w:pPr>
        <w:pStyle w:val="BodyText"/>
      </w:pPr>
      <w:r>
        <w:drawing>
          <wp:inline>
            <wp:extent cx="4620126" cy="3696101"/>
            <wp:effectExtent b="0" l="0" r="0" t="0"/>
            <wp:docPr descr="" title="" id="1" name="Picture"/>
            <a:graphic>
              <a:graphicData uri="http://schemas.openxmlformats.org/drawingml/2006/picture">
                <pic:pic>
                  <pic:nvPicPr>
                    <pic:cNvPr descr="articulo_proyecto_medea_RMS_final_4_files/figure-docx/unnamed-chunk-26-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48"/>
    <w:bookmarkStart w:id="51" w:name="indicador-vivienda-2011"/>
    <w:p>
      <w:pPr>
        <w:pStyle w:val="Heading3"/>
      </w:pPr>
      <w:r>
        <w:t xml:space="preserve">Indicador vivienda 2011</w:t>
      </w:r>
    </w:p>
    <w:p>
      <w:pPr>
        <w:pStyle w:val="FirstParagraph"/>
      </w:pPr>
      <w:r>
        <w:t xml:space="preserve">Para elaborar el indicador de vivienda se usa el análisis de componentes principales, con la extracción de la primera componente principal, para reducir la dimensión de los indicadores en un solo índice.</w:t>
      </w:r>
    </w:p>
    <w:p>
      <w:pPr>
        <w:pStyle w:val="BodyText"/>
      </w:pPr>
      <w:r>
        <w:t xml:space="preserve">La prueba de esfericidad de Bartlett evalúa la aplicabilidad del análisis de componentes principales o factorial de las variables estudiadas. El modelo es significativo (aceptamos la hipótesis nula, H0) cuando se puede aplicar el análisis factorial:</w:t>
      </w:r>
    </w:p>
    <w:p>
      <w:pPr>
        <w:pStyle w:val="SourceCode"/>
      </w:pPr>
      <w:r>
        <w:rPr>
          <w:rStyle w:val="VerbatimChar"/>
        </w:rPr>
        <w:t xml:space="preserve">## chi.square value  92.52016  on  10  degrees of freedom.  p-value:  1.665335e-15</w:t>
      </w:r>
    </w:p>
    <w:p>
      <w:pPr>
        <w:pStyle w:val="FirstParagraph"/>
      </w:pPr>
      <w:r>
        <w:t xml:space="preserve">como el p-valor de la prueba es menor de 0.05 aceptamos H0 (hipótesis nula), y por tanto se puede aplicar el análisis de componentes principales y factorial.</w:t>
      </w:r>
    </w:p>
    <w:p>
      <w:pPr>
        <w:pStyle w:val="BodyText"/>
      </w:pPr>
      <w:r>
        <w:t xml:space="preserve">Calculo los componentes principales basados en la matriz de correlaciones</w:t>
      </w:r>
    </w:p>
    <w:p>
      <w:pPr>
        <w:pStyle w:val="BodyText"/>
      </w:pPr>
      <w:r>
        <w:drawing>
          <wp:inline>
            <wp:extent cx="4620126" cy="3696101"/>
            <wp:effectExtent b="0" l="0" r="0" t="0"/>
            <wp:docPr descr="" title="" id="1" name="Picture"/>
            <a:graphic>
              <a:graphicData uri="http://schemas.openxmlformats.org/drawingml/2006/picture">
                <pic:pic>
                  <pic:nvPicPr>
                    <pic:cNvPr descr="articulo_proyecto_medea_RMS_final_4_files/figure-docx/unnamed-chunk-28-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Importance of components:</w:t>
      </w:r>
      <w:r>
        <w:br/>
      </w:r>
      <w:r>
        <w:rPr>
          <w:rStyle w:val="VerbatimChar"/>
        </w:rPr>
        <w:t xml:space="preserve">##                           Comp.1    Comp.2    Comp.3    Comp.4     Comp.5</w:t>
      </w:r>
      <w:r>
        <w:br/>
      </w:r>
      <w:r>
        <w:rPr>
          <w:rStyle w:val="VerbatimChar"/>
        </w:rPr>
        <w:t xml:space="preserve">## Standard deviation     1.3354351 1.0689722 1.0009039 0.8810155 0.54398055</w:t>
      </w:r>
      <w:r>
        <w:br/>
      </w:r>
      <w:r>
        <w:rPr>
          <w:rStyle w:val="VerbatimChar"/>
        </w:rPr>
        <w:t xml:space="preserve">## Proportion of Variance 0.3566774 0.2285403 0.2003617 0.1552376 0.05918297</w:t>
      </w:r>
      <w:r>
        <w:br/>
      </w:r>
      <w:r>
        <w:rPr>
          <w:rStyle w:val="VerbatimChar"/>
        </w:rPr>
        <w:t xml:space="preserve">## Cumulative Proportion  0.3566774 0.5852177 0.7855794 0.9408170 1.00000000</w:t>
      </w:r>
      <w:r>
        <w:br/>
      </w:r>
      <w:r>
        <w:rPr>
          <w:rStyle w:val="VerbatimChar"/>
        </w:rPr>
        <w:t xml:space="preserve">## </w:t>
      </w:r>
      <w:r>
        <w:br/>
      </w:r>
      <w:r>
        <w:rPr>
          <w:rStyle w:val="VerbatimChar"/>
        </w:rPr>
        <w:t xml:space="preserve">## Loadings:</w:t>
      </w:r>
      <w:r>
        <w:br/>
      </w:r>
      <w:r>
        <w:rPr>
          <w:rStyle w:val="VerbatimChar"/>
        </w:rPr>
        <w:t xml:space="preserve">##                Comp.1 Comp.2 Comp.3 Comp.4 Comp.5</w:t>
      </w:r>
      <w:r>
        <w:br/>
      </w:r>
      <w:r>
        <w:rPr>
          <w:rStyle w:val="VerbatimChar"/>
        </w:rPr>
        <w:t xml:space="preserve">## viv_30_11       0.391  0.502  0.416  0.543  0.357</w:t>
      </w:r>
      <w:r>
        <w:br/>
      </w:r>
      <w:r>
        <w:rPr>
          <w:rStyle w:val="VerbatimChar"/>
        </w:rPr>
        <w:t xml:space="preserve">## SUP_Hab_11            -0.622  0.710 -0.187  0.268</w:t>
      </w:r>
      <w:r>
        <w:br/>
      </w:r>
      <w:r>
        <w:rPr>
          <w:rStyle w:val="VerbatimChar"/>
        </w:rPr>
        <w:t xml:space="preserve">## Aseo_11         0.378  0.450  0.184 -0.785       </w:t>
      </w:r>
      <w:r>
        <w:br/>
      </w:r>
      <w:r>
        <w:rPr>
          <w:rStyle w:val="VerbatimChar"/>
        </w:rPr>
        <w:t xml:space="preserve">## viv_estado_11   0.535 -0.290 -0.537         0.578</w:t>
      </w:r>
      <w:r>
        <w:br/>
      </w:r>
      <w:r>
        <w:rPr>
          <w:rStyle w:val="VerbatimChar"/>
        </w:rPr>
        <w:t xml:space="preserve">## viv_añocons_11  0.644 -0.274         0.218 -0.680</w:t>
      </w:r>
    </w:p>
    <w:p>
      <w:pPr>
        <w:pStyle w:val="FirstParagraph"/>
      </w:pPr>
      <w:r>
        <w:t xml:space="preserve">En la Figura nº 14 se Cartografían los resultados obtenidos.</w:t>
      </w:r>
    </w:p>
    <w:p>
      <w:pPr>
        <w:pStyle w:val="BodyText"/>
      </w:pPr>
      <w:r>
        <w:drawing>
          <wp:inline>
            <wp:extent cx="4620126" cy="3696101"/>
            <wp:effectExtent b="0" l="0" r="0" t="0"/>
            <wp:docPr descr="" title="" id="1" name="Picture"/>
            <a:graphic>
              <a:graphicData uri="http://schemas.openxmlformats.org/drawingml/2006/picture">
                <pic:pic>
                  <pic:nvPicPr>
                    <pic:cNvPr descr="articulo_proyecto_medea_RMS_final_4_files/figure-docx/unnamed-chunk-29-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1"/>
    <w:bookmarkStart w:id="53" w:name="indicador-social-2001."/>
    <w:p>
      <w:pPr>
        <w:pStyle w:val="Heading3"/>
      </w:pPr>
      <w:r>
        <w:t xml:space="preserve">Indicador social 2001.</w:t>
      </w:r>
    </w:p>
    <w:p>
      <w:pPr>
        <w:pStyle w:val="FirstParagraph"/>
      </w:pPr>
      <w:r>
        <w:t xml:space="preserve">El indicador social es el indicador de privación construido para Medea. En la Figura nº 15 se Cartografían el indicador para 2001.</w:t>
      </w:r>
    </w:p>
    <w:p>
      <w:pPr>
        <w:pStyle w:val="BodyText"/>
      </w:pPr>
      <w:r>
        <w:drawing>
          <wp:inline>
            <wp:extent cx="4620126" cy="3696101"/>
            <wp:effectExtent b="0" l="0" r="0" t="0"/>
            <wp:docPr descr="" title="" id="1" name="Picture"/>
            <a:graphic>
              <a:graphicData uri="http://schemas.openxmlformats.org/drawingml/2006/picture">
                <pic:pic>
                  <pic:nvPicPr>
                    <pic:cNvPr descr="articulo_proyecto_medea_RMS_final_4_files/figure-docx/unnamed-chunk-30-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End w:id="54"/>
    <w:bookmarkStart w:id="60" w:name="indicador-social-2011."/>
    <w:p>
      <w:pPr>
        <w:pStyle w:val="Heading2"/>
      </w:pPr>
      <w:r>
        <w:t xml:space="preserve">Indicador social 2011.</w:t>
      </w:r>
    </w:p>
    <w:p>
      <w:pPr>
        <w:pStyle w:val="FirstParagraph"/>
      </w:pPr>
      <w:r>
        <w:t xml:space="preserve">El indicador social es el indicador de privación construido para Medea.. En la Figura nº 16 se Cartografían el indicador para 2011.</w:t>
      </w:r>
    </w:p>
    <w:p>
      <w:pPr>
        <w:pStyle w:val="BodyText"/>
      </w:pPr>
      <w:r>
        <w:drawing>
          <wp:inline>
            <wp:extent cx="4620126" cy="3696101"/>
            <wp:effectExtent b="0" l="0" r="0" t="0"/>
            <wp:docPr descr="" title="" id="1" name="Picture"/>
            <a:graphic>
              <a:graphicData uri="http://schemas.openxmlformats.org/drawingml/2006/picture">
                <pic:pic>
                  <pic:nvPicPr>
                    <pic:cNvPr descr="articulo_proyecto_medea_RMS_final_4_files/figure-docx/unnamed-chunk-31-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bookmarkStart w:id="59" w:name="indicador-pobreza-monetaria-2001"/>
    <w:p>
      <w:pPr>
        <w:pStyle w:val="Heading3"/>
      </w:pPr>
      <w:r>
        <w:t xml:space="preserve">Indicador pobreza monetaria 2001</w:t>
      </w:r>
    </w:p>
    <w:p>
      <w:pPr>
        <w:pStyle w:val="FirstParagraph"/>
      </w:pPr>
      <w:r>
        <w:t xml:space="preserve">En la figura 17 se representa la población que cobra la Renta Social Básica en julio de 2005 en cada sección censal, que es el único ejercicio para el que hemos podido obtener resultados a nivel de sección censal, en la figura 19 se representa, también para ese mismo ejercicio, la población que percibe pensiones no contributivas al 31 de diciembre de 2005, y en la figura 20 el porcentaje de población que percibe las dos rentas sociales en 2005 en cada sección censal de Santander, que es el indicador con el que se va a aproximar la vulnerabilidad monetaria.</w:t>
      </w:r>
    </w:p>
    <w:p>
      <w:pPr>
        <w:pStyle w:val="BodyText"/>
      </w:pPr>
      <w:r>
        <w:drawing>
          <wp:inline>
            <wp:extent cx="4620126" cy="3696101"/>
            <wp:effectExtent b="0" l="0" r="0" t="0"/>
            <wp:docPr descr="" title="" id="1" name="Picture"/>
            <a:graphic>
              <a:graphicData uri="http://schemas.openxmlformats.org/drawingml/2006/picture">
                <pic:pic>
                  <pic:nvPicPr>
                    <pic:cNvPr descr="articulo_proyecto_medea_RMS_final_4_files/figure-docx/unnamed-chunk-32-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rticulo_proyecto_medea_RMS_final_4_files/figure-docx/unnamed-chunk-32-2.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rticulo_proyecto_medea_RMS_final_4_files/figure-docx/unnamed-chunk-32-3.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bookmarkEnd w:id="59"/>
    <w:bookmarkEnd w:id="60"/>
    <w:bookmarkStart w:id="67" w:name="indicador-pobreza-monetaria-2011"/>
    <w:p>
      <w:pPr>
        <w:pStyle w:val="Heading2"/>
      </w:pPr>
      <w:r>
        <w:t xml:space="preserve">Indicador pobreza monetaria 2011</w:t>
      </w:r>
    </w:p>
    <w:p>
      <w:pPr>
        <w:pStyle w:val="FirstParagraph"/>
      </w:pPr>
      <w:r>
        <w:t xml:space="preserve">En la Figura 20 se representa la población que cobra la Renta Social Básica en julio de 2017 en cada sección censal, que es el único ejercicio para el que hemos podido obtener resultados a nivel de sección censal, en la Figura 21 se representa, también para ese mismo ejercicio, la población que percibe pensiones no contributivas al 31 de diciembre de 2017, y en la Figura 22 el porcentaje de población que percibe las dos rentas sociales en 2017 en cada sección censal de Santander, que es el indicador con el que se va a aproximar la vulnerabilidad monetaria.</w:t>
      </w:r>
    </w:p>
    <w:p>
      <w:pPr>
        <w:pStyle w:val="BodyText"/>
      </w:pPr>
      <w:r>
        <w:drawing>
          <wp:inline>
            <wp:extent cx="4620126" cy="3696101"/>
            <wp:effectExtent b="0" l="0" r="0" t="0"/>
            <wp:docPr descr="" title="" id="1" name="Picture"/>
            <a:graphic>
              <a:graphicData uri="http://schemas.openxmlformats.org/drawingml/2006/picture">
                <pic:pic>
                  <pic:nvPicPr>
                    <pic:cNvPr descr="articulo_proyecto_medea_RMS_final_4_files/figure-docx/unnamed-chunk-33-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rticulo_proyecto_medea_RMS_final_4_files/figure-docx/unnamed-chunk-33-2.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rticulo_proyecto_medea_RMS_final_4_files/figure-docx/unnamed-chunk-33-3.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bookmarkStart w:id="66" w:name="X968386f9079a5505e1ae43e9423b85db4d05a34"/>
    <w:p>
      <w:pPr>
        <w:pStyle w:val="Heading3"/>
      </w:pPr>
      <w:r>
        <w:t xml:space="preserve">Elaboración del Índice de privación compuesto de Cantabria 2001</w:t>
      </w:r>
    </w:p>
    <w:p>
      <w:pPr>
        <w:pStyle w:val="FirstParagraph"/>
      </w:pPr>
      <w:r>
        <w:t xml:space="preserve">Para elaborar el índice de privación Multidimensional que combina las 4 dimensiones analizadas previamente, se usa también el análisis de componentes principales, con la extracción de la primera componente principal para reducir la dimensión de los indicadores en un solo índice</w:t>
      </w:r>
    </w:p>
    <w:p>
      <w:pPr>
        <w:pStyle w:val="SourceCode"/>
      </w:pPr>
      <w:r>
        <w:rPr>
          <w:rStyle w:val="VerbatimChar"/>
        </w:rPr>
        <w:t xml:space="preserve">##             demografico  vivienda     social monetario</w:t>
      </w:r>
      <w:r>
        <w:br/>
      </w:r>
      <w:r>
        <w:rPr>
          <w:rStyle w:val="VerbatimChar"/>
        </w:rPr>
        <w:t xml:space="preserve">## demografico  1.00000000 0.3147458 0.01254985 0.2291510</w:t>
      </w:r>
      <w:r>
        <w:br/>
      </w:r>
      <w:r>
        <w:rPr>
          <w:rStyle w:val="VerbatimChar"/>
        </w:rPr>
        <w:t xml:space="preserve">## vivienda     0.31474582 1.0000000 0.11681378 0.3750826</w:t>
      </w:r>
      <w:r>
        <w:br/>
      </w:r>
      <w:r>
        <w:rPr>
          <w:rStyle w:val="VerbatimChar"/>
        </w:rPr>
        <w:t xml:space="preserve">## social       0.01254985 0.1168138 1.00000000 0.5219867</w:t>
      </w:r>
      <w:r>
        <w:br/>
      </w:r>
      <w:r>
        <w:rPr>
          <w:rStyle w:val="VerbatimChar"/>
        </w:rPr>
        <w:t xml:space="preserve">## monetario    0.22915102 0.3750826 0.52198665 1.0000000</w:t>
      </w:r>
    </w:p>
    <w:p>
      <w:pPr>
        <w:pStyle w:val="FirstParagraph"/>
      </w:pPr>
      <w:r>
        <w:t xml:space="preserve">La prueba de esfericidad de Bartlett evalúa la aplicabilidad del análisis de componentes principales o factorial de las variables estudiadas. El modelo es significativo (aceptamos la hipótesis nula, H0) cuando se puede aplicar el análisis factorial:</w:t>
      </w:r>
    </w:p>
    <w:p>
      <w:pPr>
        <w:pStyle w:val="SourceCode"/>
      </w:pPr>
      <w:r>
        <w:rPr>
          <w:rStyle w:val="VerbatimChar"/>
        </w:rPr>
        <w:t xml:space="preserve">## chi.square value  74.9456  on  6  degrees of freedom.  p-value:  3.941292e-14</w:t>
      </w:r>
    </w:p>
    <w:p>
      <w:pPr>
        <w:pStyle w:val="FirstParagraph"/>
      </w:pPr>
      <w:r>
        <w:t xml:space="preserve">como el p-valor de la prueba es menor de 0.05 aceptamos H0 (hipótesis nula), y por tanto se puede aplicar el análisis de componentes principales y factorial.</w:t>
      </w:r>
    </w:p>
    <w:p>
      <w:pPr>
        <w:pStyle w:val="BodyText"/>
      </w:pPr>
      <w:r>
        <w:t xml:space="preserve">Calculo los componentes principales basados en la matriz de correlaciones</w:t>
      </w:r>
    </w:p>
    <w:p>
      <w:pPr>
        <w:pStyle w:val="BodyText"/>
      </w:pPr>
      <w:r>
        <w:drawing>
          <wp:inline>
            <wp:extent cx="4620126" cy="3696101"/>
            <wp:effectExtent b="0" l="0" r="0" t="0"/>
            <wp:docPr descr="" title="" id="1" name="Picture"/>
            <a:graphic>
              <a:graphicData uri="http://schemas.openxmlformats.org/drawingml/2006/picture">
                <pic:pic>
                  <pic:nvPicPr>
                    <pic:cNvPr descr="articulo_proyecto_medea_RMS_final_4_files/figure-docx/unnamed-chunk-36-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Importance of components:</w:t>
      </w:r>
      <w:r>
        <w:br/>
      </w:r>
      <w:r>
        <w:rPr>
          <w:rStyle w:val="VerbatimChar"/>
        </w:rPr>
        <w:t xml:space="preserve">##                           Comp.1    Comp.2    Comp.3    Comp.4</w:t>
      </w:r>
      <w:r>
        <w:br/>
      </w:r>
      <w:r>
        <w:rPr>
          <w:rStyle w:val="VerbatimChar"/>
        </w:rPr>
        <w:t xml:space="preserve">## Standard deviation     1.3506101 1.0511548 0.8174511 0.6345863</w:t>
      </w:r>
      <w:r>
        <w:br/>
      </w:r>
      <w:r>
        <w:rPr>
          <w:rStyle w:val="VerbatimChar"/>
        </w:rPr>
        <w:t xml:space="preserve">## Proportion of Variance 0.4560369 0.2762316 0.1670566 0.1006750</w:t>
      </w:r>
      <w:r>
        <w:br/>
      </w:r>
      <w:r>
        <w:rPr>
          <w:rStyle w:val="VerbatimChar"/>
        </w:rPr>
        <w:t xml:space="preserve">## Cumulative Proportion  0.4560369 0.7322685 0.8993250 1.0000000</w:t>
      </w:r>
      <w:r>
        <w:br/>
      </w:r>
      <w:r>
        <w:rPr>
          <w:rStyle w:val="VerbatimChar"/>
        </w:rPr>
        <w:t xml:space="preserve">## </w:t>
      </w:r>
      <w:r>
        <w:br/>
      </w:r>
      <w:r>
        <w:rPr>
          <w:rStyle w:val="VerbatimChar"/>
        </w:rPr>
        <w:t xml:space="preserve">## Loadings:</w:t>
      </w:r>
      <w:r>
        <w:br/>
      </w:r>
      <w:r>
        <w:rPr>
          <w:rStyle w:val="VerbatimChar"/>
        </w:rPr>
        <w:t xml:space="preserve">##             Comp.1 Comp.2 Comp.3 Comp.4</w:t>
      </w:r>
      <w:r>
        <w:br/>
      </w:r>
      <w:r>
        <w:rPr>
          <w:rStyle w:val="VerbatimChar"/>
        </w:rPr>
        <w:t xml:space="preserve">## demografico  0.371  0.637  0.665  0.121</w:t>
      </w:r>
      <w:r>
        <w:br/>
      </w:r>
      <w:r>
        <w:rPr>
          <w:rStyle w:val="VerbatimChar"/>
        </w:rPr>
        <w:t xml:space="preserve">## vivienda     0.494  0.404 -0.714  0.287</w:t>
      </w:r>
      <w:r>
        <w:br/>
      </w:r>
      <w:r>
        <w:rPr>
          <w:rStyle w:val="VerbatimChar"/>
        </w:rPr>
        <w:t xml:space="preserve">## social       0.473 -0.616  0.217  0.591</w:t>
      </w:r>
      <w:r>
        <w:br/>
      </w:r>
      <w:r>
        <w:rPr>
          <w:rStyle w:val="VerbatimChar"/>
        </w:rPr>
        <w:t xml:space="preserve">## monetario    0.628 -0.229        -0.744</w:t>
      </w:r>
    </w:p>
    <w:p>
      <w:pPr>
        <w:pStyle w:val="FirstParagraph"/>
      </w:pPr>
      <w:r>
        <w:t xml:space="preserve">En la Figura nº 24 se Cartografían los resultados obtenidos.</w:t>
      </w:r>
    </w:p>
    <w:p>
      <w:pPr>
        <w:pStyle w:val="BodyText"/>
      </w:pPr>
      <w:r>
        <w:drawing>
          <wp:inline>
            <wp:extent cx="4620126" cy="3696101"/>
            <wp:effectExtent b="0" l="0" r="0" t="0"/>
            <wp:docPr descr="" title="" id="1" name="Picture"/>
            <a:graphic>
              <a:graphicData uri="http://schemas.openxmlformats.org/drawingml/2006/picture">
                <pic:pic>
                  <pic:nvPicPr>
                    <pic:cNvPr descr="articulo_proyecto_medea_RMS_final_4_files/figure-docx/unnamed-chunk-37-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bookmarkEnd w:id="66"/>
    <w:bookmarkEnd w:id="67"/>
    <w:bookmarkStart w:id="70" w:name="X0e99a5cde96d8cde7a8edeef9db14ab90a40e75"/>
    <w:p>
      <w:pPr>
        <w:pStyle w:val="Heading2"/>
      </w:pPr>
      <w:r>
        <w:t xml:space="preserve">Elaboración del Índice de privación Multimensional de Cantabria 2011</w:t>
      </w:r>
    </w:p>
    <w:p>
      <w:pPr>
        <w:pStyle w:val="FirstParagraph"/>
      </w:pPr>
      <w:r>
        <w:t xml:space="preserve">Para elaborar el índice de privación Multidimensional que combina las 4 dimensiones analizadas previamente, se usa también el análisis de componentes principales, con la extracción de la primera componente principal para reducir la dimensión de los indicadores en un solo índice</w:t>
      </w:r>
    </w:p>
    <w:p>
      <w:pPr>
        <w:pStyle w:val="BodyText"/>
      </w:pPr>
      <w:r>
        <w:t xml:space="preserve">La prueba de esfericidad de Bartlett evalúa la aplicabilidad del análisis de componentes principales o factorial de las variables estudiadas. El modelo es significativo (aceptamos la hipótesis nula, H0) cuando se puede aplicar el análisis factorial:</w:t>
      </w:r>
    </w:p>
    <w:p>
      <w:pPr>
        <w:pStyle w:val="SourceCode"/>
      </w:pPr>
      <w:r>
        <w:rPr>
          <w:rStyle w:val="VerbatimChar"/>
        </w:rPr>
        <w:t xml:space="preserve">## chi.square value  66.80506  on  6  degrees of freedom.  p-value:  1.844969e-12</w:t>
      </w:r>
    </w:p>
    <w:p>
      <w:pPr>
        <w:pStyle w:val="FirstParagraph"/>
      </w:pPr>
      <w:r>
        <w:t xml:space="preserve">como el p-valor de la prueba es menor de 0.05 aceptamos H0 (hipótesis nula), y por tanto se puede aplicar el análisis de componentes principales y factorial.</w:t>
      </w:r>
    </w:p>
    <w:p>
      <w:pPr>
        <w:pStyle w:val="BodyText"/>
      </w:pPr>
      <w:r>
        <w:t xml:space="preserve">Calculo los componentes principales basados en la matriz de correlaciones</w:t>
      </w:r>
    </w:p>
    <w:p>
      <w:pPr>
        <w:pStyle w:val="BodyText"/>
      </w:pPr>
      <w:r>
        <w:drawing>
          <wp:inline>
            <wp:extent cx="4620126" cy="3696101"/>
            <wp:effectExtent b="0" l="0" r="0" t="0"/>
            <wp:docPr descr="" title="" id="1" name="Picture"/>
            <a:graphic>
              <a:graphicData uri="http://schemas.openxmlformats.org/drawingml/2006/picture">
                <pic:pic>
                  <pic:nvPicPr>
                    <pic:cNvPr descr="articulo_proyecto_medea_RMS_final_4_files/figure-docx/unnamed-chunk-40-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Importance of components:</w:t>
      </w:r>
      <w:r>
        <w:br/>
      </w:r>
      <w:r>
        <w:rPr>
          <w:rStyle w:val="VerbatimChar"/>
        </w:rPr>
        <w:t xml:space="preserve">##                           Comp.1    Comp.2    Comp.3     Comp.4</w:t>
      </w:r>
      <w:r>
        <w:br/>
      </w:r>
      <w:r>
        <w:rPr>
          <w:rStyle w:val="VerbatimChar"/>
        </w:rPr>
        <w:t xml:space="preserve">## Standard deviation     1.3284484 0.9944172 0.9274993 0.62137307</w:t>
      </w:r>
      <w:r>
        <w:br/>
      </w:r>
      <w:r>
        <w:rPr>
          <w:rStyle w:val="VerbatimChar"/>
        </w:rPr>
        <w:t xml:space="preserve">## Proportion of Variance 0.4411938 0.2472164 0.2150637 0.09652612</w:t>
      </w:r>
      <w:r>
        <w:br/>
      </w:r>
      <w:r>
        <w:rPr>
          <w:rStyle w:val="VerbatimChar"/>
        </w:rPr>
        <w:t xml:space="preserve">## Cumulative Proportion  0.4411938 0.6884102 0.9034739 1.00000000</w:t>
      </w:r>
      <w:r>
        <w:br/>
      </w:r>
      <w:r>
        <w:rPr>
          <w:rStyle w:val="VerbatimChar"/>
        </w:rPr>
        <w:t xml:space="preserve">## </w:t>
      </w:r>
      <w:r>
        <w:br/>
      </w:r>
      <w:r>
        <w:rPr>
          <w:rStyle w:val="VerbatimChar"/>
        </w:rPr>
        <w:t xml:space="preserve">## Loadings:</w:t>
      </w:r>
      <w:r>
        <w:br/>
      </w:r>
      <w:r>
        <w:rPr>
          <w:rStyle w:val="VerbatimChar"/>
        </w:rPr>
        <w:t xml:space="preserve">##             Comp.1 Comp.2 Comp.3 Comp.4</w:t>
      </w:r>
      <w:r>
        <w:br/>
      </w:r>
      <w:r>
        <w:rPr>
          <w:rStyle w:val="VerbatimChar"/>
        </w:rPr>
        <w:t xml:space="preserve">## demografico  0.151  0.981              </w:t>
      </w:r>
      <w:r>
        <w:br/>
      </w:r>
      <w:r>
        <w:rPr>
          <w:rStyle w:val="VerbatimChar"/>
        </w:rPr>
        <w:t xml:space="preserve">## vivienda    -0.397  0.141 -0.901 -0.104</w:t>
      </w:r>
      <w:r>
        <w:br/>
      </w:r>
      <w:r>
        <w:rPr>
          <w:rStyle w:val="VerbatimChar"/>
        </w:rPr>
        <w:t xml:space="preserve">## social      -0.624  0.135  0.374 -0.673</w:t>
      </w:r>
      <w:r>
        <w:br/>
      </w:r>
      <w:r>
        <w:rPr>
          <w:rStyle w:val="VerbatimChar"/>
        </w:rPr>
        <w:t xml:space="preserve">## monetario   -0.656         0.207  0.726</w:t>
      </w:r>
    </w:p>
    <w:p>
      <w:pPr>
        <w:pStyle w:val="FirstParagraph"/>
      </w:pPr>
      <w:r>
        <w:t xml:space="preserve">En la Figura nº 26 se Cartografían los resultados obtenidos.</w:t>
      </w:r>
    </w:p>
    <w:p>
      <w:pPr>
        <w:pStyle w:val="BodyText"/>
      </w:pPr>
      <w:r>
        <w:drawing>
          <wp:inline>
            <wp:extent cx="4620126" cy="3696101"/>
            <wp:effectExtent b="0" l="0" r="0" t="0"/>
            <wp:docPr descr="" title="" id="1" name="Picture"/>
            <a:graphic>
              <a:graphicData uri="http://schemas.openxmlformats.org/drawingml/2006/picture">
                <pic:pic>
                  <pic:nvPicPr>
                    <pic:cNvPr descr="articulo_proyecto_medea_RMS_final_4_files/figure-docx/unnamed-chunk-41-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bookmarkEnd w:id="70"/>
    <w:bookmarkEnd w:id="71"/>
    <w:bookmarkStart w:id="85" w:name="regresión-ecologica-inla"/>
    <w:p>
      <w:pPr>
        <w:pStyle w:val="Heading1"/>
      </w:pPr>
      <w:r>
        <w:t xml:space="preserve">Regresión ecologica INLA</w:t>
      </w:r>
    </w:p>
    <w:p>
      <w:pPr>
        <w:pStyle w:val="FirstParagraph"/>
      </w:pPr>
      <w:r>
        <w:t xml:space="preserve">Para realizar la regresión ecológica INLA obtenemos el riesgo de morir asociado a la privación (privación MEDEA 3 y Multidimensional ambas calculadas principalmente con datos del Censo 2011) en el periodo de estudio. Se han tomado los valores esperados calculados a partir de las tasas específicas por edad del periodo 1997-2015. Las tasas específicas se han calculado teniendo en cuenta toda la ciudad de Santander (estandarización interna).</w:t>
      </w:r>
    </w:p>
    <w:bookmarkStart w:id="84" w:name="resultados-hombres"/>
    <w:p>
      <w:pPr>
        <w:pStyle w:val="Heading2"/>
      </w:pPr>
      <w:r>
        <w:t xml:space="preserve">Resultados hombres</w:t>
      </w:r>
    </w:p>
    <w:bookmarkStart w:id="74" w:name="privación-medea-2011"/>
    <w:p>
      <w:pPr>
        <w:pStyle w:val="Heading3"/>
      </w:pPr>
      <w:r>
        <w:t xml:space="preserve">Privación Medea 2011</w:t>
      </w:r>
    </w:p>
    <w:p>
      <w:pPr>
        <w:pStyle w:val="FirstParagraph"/>
      </w:pPr>
      <w:r>
        <w:t xml:space="preserve">Definimos la fórmula del modelo y ejecutamos la función</w:t>
      </w:r>
      <w:r>
        <w:t xml:space="preserve"> </w:t>
      </w:r>
      <w:r>
        <w:t xml:space="preserve">“</w:t>
      </w:r>
      <w:r>
        <w:t xml:space="preserve">inla</w:t>
      </w:r>
      <w:r>
        <w:t xml:space="preserve">”</w:t>
      </w:r>
      <w:r>
        <w:t xml:space="preserve">.</w:t>
      </w:r>
    </w:p>
    <w:p>
      <w:pPr>
        <w:pStyle w:val="SourceCode"/>
      </w:pPr>
      <w:r>
        <w:rPr>
          <w:rStyle w:val="NormalTok"/>
        </w:rPr>
        <w:t xml:space="preserve">sdunif       </w:t>
      </w:r>
      <w:r>
        <w:rPr>
          <w:rStyle w:val="OtherTok"/>
        </w:rPr>
        <w:t xml:space="preserve">&lt;-</w:t>
      </w:r>
      <w:r>
        <w:rPr>
          <w:rStyle w:val="NormalTok"/>
        </w:rPr>
        <w:t xml:space="preserve"> </w:t>
      </w:r>
      <w:r>
        <w:rPr>
          <w:rStyle w:val="StringTok"/>
        </w:rPr>
        <w:t xml:space="preserve">"expression:</w:t>
      </w:r>
      <w:r>
        <w:br/>
      </w:r>
      <w:r>
        <w:rPr>
          <w:rStyle w:val="StringTok"/>
        </w:rPr>
        <w:t xml:space="preserve">  logdens=log(0.5)-log_precision/2;</w:t>
      </w:r>
      <w:r>
        <w:br/>
      </w:r>
      <w:r>
        <w:rPr>
          <w:rStyle w:val="StringTok"/>
        </w:rPr>
        <w:t xml:space="preserve">  return(logdens);"</w:t>
      </w:r>
      <w:r>
        <w:br/>
      </w:r>
      <w:r>
        <w:rPr>
          <w:rStyle w:val="NormalTok"/>
        </w:rPr>
        <w:t xml:space="preserve">formula2 </w:t>
      </w:r>
      <w:r>
        <w:rPr>
          <w:rStyle w:val="OtherTok"/>
        </w:rPr>
        <w:t xml:space="preserve">&lt;-</w:t>
      </w:r>
      <w:r>
        <w:rPr>
          <w:rStyle w:val="NormalTok"/>
        </w:rPr>
        <w:t xml:space="preserve"> O </w:t>
      </w:r>
      <w:r>
        <w:rPr>
          <w:rStyle w:val="SpecialCharTok"/>
        </w:rPr>
        <w:t xml:space="preserve">~</w:t>
      </w:r>
      <w:r>
        <w:rPr>
          <w:rStyle w:val="NormalTok"/>
        </w:rPr>
        <w:t xml:space="preserve"> </w:t>
      </w:r>
      <w:r>
        <w:rPr>
          <w:rStyle w:val="FunctionTok"/>
        </w:rPr>
        <w:t xml:space="preserve">f</w:t>
      </w:r>
      <w:r>
        <w:rPr>
          <w:rStyle w:val="NormalTok"/>
        </w:rPr>
        <w:t xml:space="preserve">(</w:t>
      </w:r>
      <w:r>
        <w:br/>
      </w:r>
      <w:r>
        <w:rPr>
          <w:rStyle w:val="NormalTok"/>
        </w:rPr>
        <w:t xml:space="preserve">  region.struct,</w:t>
      </w:r>
      <w:r>
        <w:br/>
      </w:r>
      <w:r>
        <w:rPr>
          <w:rStyle w:val="NormalTok"/>
        </w:rPr>
        <w:t xml:space="preserve">  </w:t>
      </w:r>
      <w:r>
        <w:rPr>
          <w:rStyle w:val="AttributeTok"/>
        </w:rPr>
        <w:t xml:space="preserve">model =</w:t>
      </w:r>
      <w:r>
        <w:rPr>
          <w:rStyle w:val="NormalTok"/>
        </w:rPr>
        <w:t xml:space="preserve"> </w:t>
      </w:r>
      <w:r>
        <w:rPr>
          <w:rStyle w:val="StringTok"/>
        </w:rPr>
        <w:t xml:space="preserve">"bym"</w:t>
      </w:r>
      <w:r>
        <w:rPr>
          <w:rStyle w:val="NormalTok"/>
        </w:rPr>
        <w:t xml:space="preserve">,</w:t>
      </w:r>
      <w:r>
        <w:br/>
      </w:r>
      <w:r>
        <w:rPr>
          <w:rStyle w:val="NormalTok"/>
        </w:rPr>
        <w:t xml:space="preserve">  </w:t>
      </w:r>
      <w:r>
        <w:rPr>
          <w:rStyle w:val="AttributeTok"/>
        </w:rPr>
        <w:t xml:space="preserve">graph =</w:t>
      </w:r>
      <w:r>
        <w:rPr>
          <w:rStyle w:val="NormalTok"/>
        </w:rPr>
        <w:t xml:space="preserve"> </w:t>
      </w:r>
      <w:r>
        <w:rPr>
          <w:rStyle w:val="StringTok"/>
        </w:rPr>
        <w:t xml:space="preserve">"Santander_nb.inla"</w:t>
      </w:r>
      <w:r>
        <w:rPr>
          <w:rStyle w:val="NormalTok"/>
        </w:rPr>
        <w:t xml:space="preserve">,</w:t>
      </w:r>
      <w:r>
        <w:br/>
      </w:r>
      <w:r>
        <w:rPr>
          <w:rStyle w:val="NormalTok"/>
        </w:rPr>
        <w:t xml:space="preserve">  </w:t>
      </w:r>
      <w:r>
        <w:rPr>
          <w:rStyle w:val="AttributeTok"/>
        </w:rPr>
        <w:t xml:space="preserve">hyper =</w:t>
      </w:r>
      <w:r>
        <w:rPr>
          <w:rStyle w:val="NormalTok"/>
        </w:rPr>
        <w:t xml:space="preserve"> </w:t>
      </w:r>
      <w:r>
        <w:rPr>
          <w:rStyle w:val="FunctionTok"/>
        </w:rPr>
        <w:t xml:space="preserve">list</w:t>
      </w:r>
      <w:r>
        <w:rPr>
          <w:rStyle w:val="NormalTok"/>
        </w:rPr>
        <w:t xml:space="preserve">(</w:t>
      </w:r>
      <w:r>
        <w:rPr>
          <w:rStyle w:val="AttributeTok"/>
        </w:rPr>
        <w:t xml:space="preserve">prec.unstruct =</w:t>
      </w:r>
      <w:r>
        <w:rPr>
          <w:rStyle w:val="NormalTok"/>
        </w:rPr>
        <w:t xml:space="preserve"> </w:t>
      </w:r>
      <w:r>
        <w:rPr>
          <w:rStyle w:val="FunctionTok"/>
        </w:rPr>
        <w:t xml:space="preserve">list</w:t>
      </w:r>
      <w:r>
        <w:rPr>
          <w:rStyle w:val="NormalTok"/>
        </w:rPr>
        <w:t xml:space="preserve">(</w:t>
      </w:r>
      <w:r>
        <w:rPr>
          <w:rStyle w:val="AttributeTok"/>
        </w:rPr>
        <w:t xml:space="preserve">prior =</w:t>
      </w:r>
      <w:r>
        <w:rPr>
          <w:rStyle w:val="NormalTok"/>
        </w:rPr>
        <w:t xml:space="preserve"> sdunif), </w:t>
      </w:r>
      <w:r>
        <w:rPr>
          <w:rStyle w:val="AttributeTok"/>
        </w:rPr>
        <w:t xml:space="preserve">prec.spatial =</w:t>
      </w:r>
      <w:r>
        <w:rPr>
          <w:rStyle w:val="NormalTok"/>
        </w:rPr>
        <w:t xml:space="preserve"> </w:t>
      </w:r>
      <w:r>
        <w:rPr>
          <w:rStyle w:val="FunctionTok"/>
        </w:rPr>
        <w:t xml:space="preserve">list</w:t>
      </w:r>
      <w:r>
        <w:rPr>
          <w:rStyle w:val="NormalTok"/>
        </w:rPr>
        <w:t xml:space="preserve">(</w:t>
      </w:r>
      <w:r>
        <w:rPr>
          <w:rStyle w:val="AttributeTok"/>
        </w:rPr>
        <w:t xml:space="preserve">prior =</w:t>
      </w:r>
      <w:r>
        <w:rPr>
          <w:rStyle w:val="NormalTok"/>
        </w:rPr>
        <w:t xml:space="preserve"> sdunif))) </w:t>
      </w:r>
      <w:r>
        <w:rPr>
          <w:rStyle w:val="SpecialCharTok"/>
        </w:rPr>
        <w:t xml:space="preserve">+</w:t>
      </w:r>
      <w:r>
        <w:rPr>
          <w:rStyle w:val="NormalTok"/>
        </w:rPr>
        <w:t xml:space="preserve"> Privacion</w:t>
      </w:r>
      <w:r>
        <w:br/>
      </w:r>
      <w:r>
        <w:rPr>
          <w:rStyle w:val="NormalTok"/>
        </w:rPr>
        <w:t xml:space="preserve">resultado.p1 </w:t>
      </w:r>
      <w:r>
        <w:rPr>
          <w:rStyle w:val="OtherTok"/>
        </w:rPr>
        <w:t xml:space="preserve">&lt;-</w:t>
      </w:r>
      <w:r>
        <w:rPr>
          <w:rStyle w:val="NormalTok"/>
        </w:rPr>
        <w:t xml:space="preserve"> </w:t>
      </w:r>
      <w:r>
        <w:rPr>
          <w:rStyle w:val="FunctionTok"/>
        </w:rPr>
        <w:t xml:space="preserve">inla</w:t>
      </w:r>
      <w:r>
        <w:rPr>
          <w:rStyle w:val="NormalTok"/>
        </w:rPr>
        <w:t xml:space="preserve">(formula2, </w:t>
      </w:r>
      <w:r>
        <w:rPr>
          <w:rStyle w:val="AttributeTok"/>
        </w:rPr>
        <w:t xml:space="preserve">family=</w:t>
      </w:r>
      <w:r>
        <w:rPr>
          <w:rStyle w:val="StringTok"/>
        </w:rPr>
        <w:t xml:space="preserve">"poisson"</w:t>
      </w:r>
      <w:r>
        <w:rPr>
          <w:rStyle w:val="NormalTok"/>
        </w:rPr>
        <w:t xml:space="preserve">,</w:t>
      </w:r>
      <w:r>
        <w:rPr>
          <w:rStyle w:val="AttributeTok"/>
        </w:rPr>
        <w:t xml:space="preserve">data=</w:t>
      </w:r>
      <w:r>
        <w:rPr>
          <w:rStyle w:val="NormalTok"/>
        </w:rPr>
        <w:t xml:space="preserve">Datos, </w:t>
      </w:r>
      <w:r>
        <w:rPr>
          <w:rStyle w:val="AttributeTok"/>
        </w:rPr>
        <w:t xml:space="preserve">E=</w:t>
      </w:r>
      <w:r>
        <w:rPr>
          <w:rStyle w:val="NormalTok"/>
        </w:rPr>
        <w:t xml:space="preserve">E,</w:t>
      </w:r>
      <w:r>
        <w:br/>
      </w:r>
      <w:r>
        <w:rPr>
          <w:rStyle w:val="AttributeTok"/>
        </w:rPr>
        <w:t xml:space="preserve">control.compute=</w:t>
      </w:r>
      <w:r>
        <w:rPr>
          <w:rStyle w:val="FunctionTok"/>
        </w:rPr>
        <w:t xml:space="preserve">list</w:t>
      </w:r>
      <w:r>
        <w:rPr>
          <w:rStyle w:val="NormalTok"/>
        </w:rPr>
        <w:t xml:space="preserve">(</w:t>
      </w:r>
      <w:r>
        <w:rPr>
          <w:rStyle w:val="AttributeTok"/>
        </w:rPr>
        <w:t xml:space="preserve">dic=</w:t>
      </w:r>
      <w:r>
        <w:rPr>
          <w:rStyle w:val="NormalTok"/>
        </w:rPr>
        <w:t xml:space="preserve">T, </w:t>
      </w:r>
      <w:r>
        <w:rPr>
          <w:rStyle w:val="AttributeTok"/>
        </w:rPr>
        <w:t xml:space="preserve">cpo=</w:t>
      </w:r>
      <w:r>
        <w:rPr>
          <w:rStyle w:val="ConstantTok"/>
        </w:rPr>
        <w:t xml:space="preserve">TRUE</w:t>
      </w:r>
      <w:r>
        <w:rPr>
          <w:rStyle w:val="NormalTok"/>
        </w:rPr>
        <w:t xml:space="preserve">),</w:t>
      </w:r>
      <w:r>
        <w:br/>
      </w:r>
      <w:r>
        <w:rPr>
          <w:rStyle w:val="AttributeTok"/>
        </w:rPr>
        <w:t xml:space="preserve">control.predictor=</w:t>
      </w:r>
      <w:r>
        <w:rPr>
          <w:rStyle w:val="FunctionTok"/>
        </w:rPr>
        <w:t xml:space="preserve">list</w:t>
      </w:r>
      <w:r>
        <w:rPr>
          <w:rStyle w:val="NormalTok"/>
        </w:rPr>
        <w:t xml:space="preserve">(</w:t>
      </w:r>
      <w:r>
        <w:rPr>
          <w:rStyle w:val="AttributeTok"/>
        </w:rPr>
        <w:t xml:space="preserve">compute=</w:t>
      </w:r>
      <w:r>
        <w:rPr>
          <w:rStyle w:val="ConstantTok"/>
        </w:rPr>
        <w:t xml:space="preserve">TRUE</w:t>
      </w:r>
      <w:r>
        <w:rPr>
          <w:rStyle w:val="NormalTok"/>
        </w:rPr>
        <w:t xml:space="preserve">, </w:t>
      </w:r>
      <w:r>
        <w:rPr>
          <w:rStyle w:val="AttributeTok"/>
        </w:rPr>
        <w:t xml:space="preserve">cdf=</w:t>
      </w:r>
      <w:r>
        <w:rPr>
          <w:rStyle w:val="FunctionTok"/>
        </w:rPr>
        <w:t xml:space="preserve">c</w:t>
      </w:r>
      <w:r>
        <w:rPr>
          <w:rStyle w:val="NormalTok"/>
        </w:rPr>
        <w:t xml:space="preserve">(</w:t>
      </w:r>
      <w:r>
        <w:rPr>
          <w:rStyle w:val="FunctionTok"/>
        </w:rPr>
        <w:t xml:space="preserve">log</w:t>
      </w:r>
      <w:r>
        <w:rPr>
          <w:rStyle w:val="NormalTok"/>
        </w:rPr>
        <w:t xml:space="preserve">(</w:t>
      </w:r>
      <w:r>
        <w:rPr>
          <w:rStyle w:val="DecValTok"/>
        </w:rPr>
        <w:t xml:space="preserve">1</w:t>
      </w:r>
      <w:r>
        <w:rPr>
          <w:rStyle w:val="NormalTok"/>
        </w:rPr>
        <w:t xml:space="preserve">))),</w:t>
      </w:r>
      <w:r>
        <w:br/>
      </w:r>
      <w:r>
        <w:rPr>
          <w:rStyle w:val="AttributeTok"/>
        </w:rPr>
        <w:t xml:space="preserve">control.inla=</w:t>
      </w:r>
      <w:r>
        <w:rPr>
          <w:rStyle w:val="FunctionTok"/>
        </w:rPr>
        <w:t xml:space="preserve">list</w:t>
      </w:r>
      <w:r>
        <w:rPr>
          <w:rStyle w:val="NormalTok"/>
        </w:rPr>
        <w:t xml:space="preserve">(</w:t>
      </w:r>
      <w:r>
        <w:rPr>
          <w:rStyle w:val="AttributeTok"/>
        </w:rPr>
        <w:t xml:space="preserve">strategy=</w:t>
      </w:r>
      <w:r>
        <w:rPr>
          <w:rStyle w:val="StringTok"/>
        </w:rPr>
        <w:t xml:space="preserve">"laplace"</w:t>
      </w:r>
      <w:r>
        <w:rPr>
          <w:rStyle w:val="NormalTok"/>
        </w:rPr>
        <w:t xml:space="preserve">, </w:t>
      </w:r>
      <w:r>
        <w:rPr>
          <w:rStyle w:val="AttributeTok"/>
        </w:rPr>
        <w:t xml:space="preserve">int.strategy=</w:t>
      </w:r>
      <w:r>
        <w:rPr>
          <w:rStyle w:val="StringTok"/>
        </w:rPr>
        <w:t xml:space="preserve">"grid"</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c("inla(formula = formula2, family = \"poisson\", data = Datos, E = E, </w:t>
      </w:r>
      <w:r>
        <w:br/>
      </w:r>
      <w:r>
        <w:rPr>
          <w:rStyle w:val="VerbatimChar"/>
        </w:rPr>
        <w:t xml:space="preserve">##    ", " control.compute = list(dic = T, cpo = TRUE), control.predictor = </w:t>
      </w:r>
      <w:r>
        <w:br/>
      </w:r>
      <w:r>
        <w:rPr>
          <w:rStyle w:val="VerbatimChar"/>
        </w:rPr>
        <w:t xml:space="preserve">##    list(compute = TRUE, ", " cdf = c(log(1))), control.inla = </w:t>
      </w:r>
      <w:r>
        <w:br/>
      </w:r>
      <w:r>
        <w:rPr>
          <w:rStyle w:val="VerbatimChar"/>
        </w:rPr>
        <w:t xml:space="preserve">##    list(strategy = \"laplace\", ", " int.strategy = \"grid\"))") </w:t>
      </w:r>
      <w:r>
        <w:br/>
      </w:r>
      <w:r>
        <w:rPr>
          <w:rStyle w:val="VerbatimChar"/>
        </w:rPr>
        <w:t xml:space="preserve">## Time used:</w:t>
      </w:r>
      <w:r>
        <w:br/>
      </w:r>
      <w:r>
        <w:rPr>
          <w:rStyle w:val="VerbatimChar"/>
        </w:rPr>
        <w:t xml:space="preserve">##     Pre = 0.356, Running = 2.61, Post = 0.0495, Total = 3.01 </w:t>
      </w:r>
      <w:r>
        <w:br/>
      </w:r>
      <w:r>
        <w:rPr>
          <w:rStyle w:val="VerbatimChar"/>
        </w:rPr>
        <w:t xml:space="preserve">## Fixed effects:</w:t>
      </w:r>
      <w:r>
        <w:br/>
      </w:r>
      <w:r>
        <w:rPr>
          <w:rStyle w:val="VerbatimChar"/>
        </w:rPr>
        <w:t xml:space="preserve">##               mean    sd 0.025quant 0.5quant 0.975quant   mode kld</w:t>
      </w:r>
      <w:r>
        <w:br/>
      </w:r>
      <w:r>
        <w:rPr>
          <w:rStyle w:val="VerbatimChar"/>
        </w:rPr>
        <w:t xml:space="preserve">## (Intercept) -0.017 0.014     -0.045   -0.017      0.011 -0.017   0</w:t>
      </w:r>
      <w:r>
        <w:br/>
      </w:r>
      <w:r>
        <w:rPr>
          <w:rStyle w:val="VerbatimChar"/>
        </w:rPr>
        <w:t xml:space="preserve">## Privacion    0.295 0.056      0.188    0.294      0.407  0.291   0</w:t>
      </w:r>
      <w:r>
        <w:br/>
      </w:r>
      <w:r>
        <w:rPr>
          <w:rStyle w:val="VerbatimChar"/>
        </w:rPr>
        <w:t xml:space="preserve">## </w:t>
      </w:r>
      <w:r>
        <w:br/>
      </w:r>
      <w:r>
        <w:rPr>
          <w:rStyle w:val="VerbatimChar"/>
        </w:rPr>
        <w:t xml:space="preserve">## Random effects:</w:t>
      </w:r>
      <w:r>
        <w:br/>
      </w:r>
      <w:r>
        <w:rPr>
          <w:rStyle w:val="VerbatimChar"/>
        </w:rPr>
        <w:t xml:space="preserve">##   Name     Model</w:t>
      </w:r>
      <w:r>
        <w:br/>
      </w:r>
      <w:r>
        <w:rPr>
          <w:rStyle w:val="VerbatimChar"/>
        </w:rPr>
        <w:t xml:space="preserve">##     region.struct BYM model</w:t>
      </w:r>
      <w:r>
        <w:br/>
      </w:r>
      <w:r>
        <w:rPr>
          <w:rStyle w:val="VerbatimChar"/>
        </w:rPr>
        <w:t xml:space="preserve">## </w:t>
      </w:r>
      <w:r>
        <w:br/>
      </w:r>
      <w:r>
        <w:rPr>
          <w:rStyle w:val="VerbatimChar"/>
        </w:rPr>
        <w:t xml:space="preserve">## Model hyperparameters:</w:t>
      </w:r>
      <w:r>
        <w:br/>
      </w:r>
      <w:r>
        <w:rPr>
          <w:rStyle w:val="VerbatimChar"/>
        </w:rPr>
        <w:t xml:space="preserve">##                                                  mean    sd 0.025quant 0.5quant</w:t>
      </w:r>
      <w:r>
        <w:br/>
      </w:r>
      <w:r>
        <w:rPr>
          <w:rStyle w:val="VerbatimChar"/>
        </w:rPr>
        <w:t xml:space="preserve">## Precision for region.struct (iid component)     63.54 15.71      35.60    62.64</w:t>
      </w:r>
      <w:r>
        <w:br/>
      </w:r>
      <w:r>
        <w:rPr>
          <w:rStyle w:val="VerbatimChar"/>
        </w:rPr>
        <w:t xml:space="preserve">## Precision for region.struct (spatial component) 44.18 23.58      16.87    38.25</w:t>
      </w:r>
      <w:r>
        <w:br/>
      </w:r>
      <w:r>
        <w:rPr>
          <w:rStyle w:val="VerbatimChar"/>
        </w:rPr>
        <w:t xml:space="preserve">##                                                 0.975quant  mode</w:t>
      </w:r>
      <w:r>
        <w:br/>
      </w:r>
      <w:r>
        <w:rPr>
          <w:rStyle w:val="VerbatimChar"/>
        </w:rPr>
        <w:t xml:space="preserve">## Precision for region.struct (iid component)          97.67 61.19</w:t>
      </w:r>
      <w:r>
        <w:br/>
      </w:r>
      <w:r>
        <w:rPr>
          <w:rStyle w:val="VerbatimChar"/>
        </w:rPr>
        <w:t xml:space="preserve">## Precision for region.struct (spatial component)     107.71 29.65</w:t>
      </w:r>
      <w:r>
        <w:br/>
      </w:r>
      <w:r>
        <w:rPr>
          <w:rStyle w:val="VerbatimChar"/>
        </w:rPr>
        <w:t xml:space="preserve">## </w:t>
      </w:r>
      <w:r>
        <w:br/>
      </w:r>
      <w:r>
        <w:rPr>
          <w:rStyle w:val="VerbatimChar"/>
        </w:rPr>
        <w:t xml:space="preserve">## Expected number of effective parameters(stdev): 86.45(4.56)</w:t>
      </w:r>
      <w:r>
        <w:br/>
      </w:r>
      <w:r>
        <w:rPr>
          <w:rStyle w:val="VerbatimChar"/>
        </w:rPr>
        <w:t xml:space="preserve">## Number of equivalent replicates : 1.43 </w:t>
      </w:r>
      <w:r>
        <w:br/>
      </w:r>
      <w:r>
        <w:rPr>
          <w:rStyle w:val="VerbatimChar"/>
        </w:rPr>
        <w:t xml:space="preserve">## </w:t>
      </w:r>
      <w:r>
        <w:br/>
      </w:r>
      <w:r>
        <w:rPr>
          <w:rStyle w:val="VerbatimChar"/>
        </w:rPr>
        <w:t xml:space="preserve">## Deviance Information Criterion (DIC) ...............: 1014.91</w:t>
      </w:r>
      <w:r>
        <w:br/>
      </w:r>
      <w:r>
        <w:rPr>
          <w:rStyle w:val="VerbatimChar"/>
        </w:rPr>
        <w:t xml:space="preserve">## Deviance Information Criterion (DIC, saturated) ....: 211.00</w:t>
      </w:r>
      <w:r>
        <w:br/>
      </w:r>
      <w:r>
        <w:rPr>
          <w:rStyle w:val="VerbatimChar"/>
        </w:rPr>
        <w:t xml:space="preserve">## Effective number of parameters .....................: 87.15</w:t>
      </w:r>
      <w:r>
        <w:br/>
      </w:r>
      <w:r>
        <w:rPr>
          <w:rStyle w:val="VerbatimChar"/>
        </w:rPr>
        <w:t xml:space="preserve">## </w:t>
      </w:r>
      <w:r>
        <w:br/>
      </w:r>
      <w:r>
        <w:rPr>
          <w:rStyle w:val="VerbatimChar"/>
        </w:rPr>
        <w:t xml:space="preserve">## Marginal log-Likelihood:  -532.89 </w:t>
      </w:r>
      <w:r>
        <w:br/>
      </w:r>
      <w:r>
        <w:rPr>
          <w:rStyle w:val="VerbatimChar"/>
        </w:rPr>
        <w:t xml:space="preserve">## CPO and PIT are computed</w:t>
      </w:r>
      <w:r>
        <w:br/>
      </w:r>
      <w:r>
        <w:rPr>
          <w:rStyle w:val="VerbatimChar"/>
        </w:rPr>
        <w:t xml:space="preserve">## </w:t>
      </w:r>
      <w:r>
        <w:br/>
      </w:r>
      <w:r>
        <w:rPr>
          <w:rStyle w:val="VerbatimChar"/>
        </w:rPr>
        <w:t xml:space="preserve">## Posterior marginals for the linear predictor and</w:t>
      </w:r>
      <w:r>
        <w:br/>
      </w:r>
      <w:r>
        <w:rPr>
          <w:rStyle w:val="VerbatimChar"/>
        </w:rPr>
        <w:t xml:space="preserve">##  the fitted values are computed</w:t>
      </w:r>
    </w:p>
    <w:p>
      <w:pPr>
        <w:pStyle w:val="FirstParagraph"/>
      </w:pPr>
      <w:r>
        <w:t xml:space="preserve">Representamos gráficamente la función de densidad de la distribución a posteriori del Riesgo Relativo (RR) (Figura nº27).</w:t>
      </w:r>
    </w:p>
    <w:p>
      <w:pPr>
        <w:pStyle w:val="SourceCode"/>
      </w:pPr>
      <w:r>
        <w:rPr>
          <w:rStyle w:val="VerbatimChar"/>
        </w:rPr>
        <w:t xml:space="preserve">##   Length Class  Mode   </w:t>
      </w:r>
      <w:r>
        <w:br/>
      </w:r>
      <w:r>
        <w:rPr>
          <w:rStyle w:val="VerbatimChar"/>
        </w:rPr>
        <w:t xml:space="preserve">## x 1080   -none- numeric</w:t>
      </w:r>
      <w:r>
        <w:br/>
      </w:r>
      <w:r>
        <w:rPr>
          <w:rStyle w:val="VerbatimChar"/>
        </w:rPr>
        <w:t xml:space="preserve">## y 1080   -none- numeric</w:t>
      </w:r>
    </w:p>
    <w:p>
      <w:pPr>
        <w:pStyle w:val="FirstParagraph"/>
      </w:pPr>
      <w:r>
        <w:drawing>
          <wp:inline>
            <wp:extent cx="4620126" cy="3696101"/>
            <wp:effectExtent b="0" l="0" r="0" t="0"/>
            <wp:docPr descr="" title="" id="1" name="Picture"/>
            <a:graphic>
              <a:graphicData uri="http://schemas.openxmlformats.org/drawingml/2006/picture">
                <pic:pic>
                  <pic:nvPicPr>
                    <pic:cNvPr descr="articulo_proyecto_medea_RMS_final_4_files/figure-docx/unnamed-chunk-47-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la tabla nº1, recogemos los resultados obtenidos.</w:t>
      </w:r>
    </w:p>
    <w:p>
      <w:pPr>
        <w:pStyle w:val="SourceCode"/>
      </w:pPr>
      <w:r>
        <w:rPr>
          <w:rStyle w:val="VerbatimChar"/>
        </w:rPr>
        <w:t xml:space="preserve">##             Periodo Causa     Indice  Genero    media perc.2.5. perc.97.5.</w:t>
      </w:r>
      <w:r>
        <w:br/>
      </w:r>
      <w:r>
        <w:rPr>
          <w:rStyle w:val="VerbatimChar"/>
        </w:rPr>
        <w:t xml:space="preserve">## 1 Periodo 1997-2015    22 Medea_2011 Hombres 1.342725  1.206861    1.50205</w:t>
      </w:r>
      <w:r>
        <w:br/>
      </w:r>
      <w:r>
        <w:rPr>
          <w:rStyle w:val="VerbatimChar"/>
        </w:rPr>
        <w:t xml:space="preserve">##       DIC</w:t>
      </w:r>
      <w:r>
        <w:br/>
      </w:r>
      <w:r>
        <w:rPr>
          <w:rStyle w:val="VerbatimChar"/>
        </w:rPr>
        <w:t xml:space="preserve">## 1 1014.91</w:t>
      </w:r>
    </w:p>
    <w:p>
      <w:pPr>
        <w:pStyle w:val="TableCaption"/>
      </w:pPr>
      <w:r>
        <w:t xml:space="preserve">Tabla nº3.Tabla Resultados Hombres.Indicador Medea_2011</w:t>
      </w:r>
    </w:p>
    <w:tbl>
      <w:tblPr>
        <w:tblStyle w:val="Table"/>
        <w:tblW w:type="pct" w:w="0.0"/>
        <w:tblLook w:firstRow="1" w:lastRow="0" w:firstColumn="0" w:lastColumn="0" w:noHBand="0" w:noVBand="0" w:val="0020"/>
        <w:tblCaption w:val="Tabla nº3.Tabla Resultados Hombres.Indicador Medea_2011"/>
      </w:tblPr>
      <w:tblGrid/>
      <w:tr>
        <w:tc>
          <w:p>
            <w:pPr>
              <w:pStyle w:val="Compact"/>
              <w:jc w:val="left"/>
            </w:pPr>
            <w:r>
              <w:t xml:space="preserve">Periodo</w:t>
            </w:r>
          </w:p>
        </w:tc>
        <w:tc>
          <w:p>
            <w:pPr>
              <w:pStyle w:val="Compact"/>
              <w:jc w:val="right"/>
            </w:pPr>
            <w:r>
              <w:t xml:space="preserve">Causa</w:t>
            </w:r>
          </w:p>
        </w:tc>
        <w:tc>
          <w:p>
            <w:pPr>
              <w:pStyle w:val="Compact"/>
              <w:jc w:val="left"/>
            </w:pPr>
            <w:r>
              <w:t xml:space="preserve">Indice</w:t>
            </w:r>
          </w:p>
        </w:tc>
        <w:tc>
          <w:p>
            <w:pPr>
              <w:pStyle w:val="Compact"/>
              <w:jc w:val="left"/>
            </w:pPr>
            <w:r>
              <w:t xml:space="preserve">Genero</w:t>
            </w:r>
          </w:p>
        </w:tc>
        <w:tc>
          <w:p>
            <w:pPr>
              <w:pStyle w:val="Compact"/>
              <w:jc w:val="right"/>
            </w:pPr>
            <w:r>
              <w:t xml:space="preserve">media</w:t>
            </w:r>
          </w:p>
        </w:tc>
        <w:tc>
          <w:p>
            <w:pPr>
              <w:pStyle w:val="Compact"/>
              <w:jc w:val="right"/>
            </w:pPr>
            <w:r>
              <w:t xml:space="preserve">perc.2.5.</w:t>
            </w:r>
          </w:p>
        </w:tc>
        <w:tc>
          <w:p>
            <w:pPr>
              <w:pStyle w:val="Compact"/>
              <w:jc w:val="right"/>
            </w:pPr>
            <w:r>
              <w:t xml:space="preserve">perc.97.5.</w:t>
            </w:r>
          </w:p>
        </w:tc>
        <w:tc>
          <w:p>
            <w:pPr>
              <w:pStyle w:val="Compact"/>
              <w:jc w:val="right"/>
            </w:pPr>
            <w:r>
              <w:t xml:space="preserve">DIC</w:t>
            </w:r>
          </w:p>
        </w:tc>
      </w:tr>
      <w:tr>
        <w:tc>
          <w:p>
            <w:pPr>
              <w:pStyle w:val="Compact"/>
              <w:jc w:val="left"/>
            </w:pPr>
            <w:r>
              <w:t xml:space="preserve">Periodo 1997-2015</w:t>
            </w:r>
          </w:p>
        </w:tc>
        <w:tc>
          <w:p>
            <w:pPr>
              <w:pStyle w:val="Compact"/>
              <w:jc w:val="right"/>
            </w:pPr>
            <w:r>
              <w:t xml:space="preserve">22</w:t>
            </w:r>
          </w:p>
        </w:tc>
        <w:tc>
          <w:p>
            <w:pPr>
              <w:pStyle w:val="Compact"/>
              <w:jc w:val="left"/>
            </w:pPr>
            <w:r>
              <w:t xml:space="preserve">Medea_2011</w:t>
            </w:r>
          </w:p>
        </w:tc>
        <w:tc>
          <w:p>
            <w:pPr>
              <w:pStyle w:val="Compact"/>
              <w:jc w:val="left"/>
            </w:pPr>
            <w:r>
              <w:t xml:space="preserve">Hombres</w:t>
            </w:r>
          </w:p>
        </w:tc>
        <w:tc>
          <w:p>
            <w:pPr>
              <w:pStyle w:val="Compact"/>
              <w:jc w:val="right"/>
            </w:pPr>
            <w:r>
              <w:t xml:space="preserve">1.34</w:t>
            </w:r>
          </w:p>
        </w:tc>
        <w:tc>
          <w:p>
            <w:pPr>
              <w:pStyle w:val="Compact"/>
              <w:jc w:val="right"/>
            </w:pPr>
            <w:r>
              <w:t xml:space="preserve">1.21</w:t>
            </w:r>
          </w:p>
        </w:tc>
        <w:tc>
          <w:p>
            <w:pPr>
              <w:pStyle w:val="Compact"/>
              <w:jc w:val="right"/>
            </w:pPr>
            <w:r>
              <w:t xml:space="preserve">1.50</w:t>
            </w:r>
          </w:p>
        </w:tc>
        <w:tc>
          <w:p>
            <w:pPr>
              <w:pStyle w:val="Compact"/>
              <w:jc w:val="right"/>
            </w:pPr>
            <w:r>
              <w:t xml:space="preserve">1014.91</w:t>
            </w:r>
          </w:p>
        </w:tc>
      </w:tr>
      <w:tr>
        <w:tc>
          <w:p>
            <w:pPr>
              <w:pStyle w:val="Compact"/>
              <w:jc w:val="left"/>
            </w:pPr>
            <w:r>
              <w:t xml:space="preserve">Periodo -2015</w:t>
            </w:r>
          </w:p>
        </w:tc>
        <w:tc>
          <w:p>
            <w:pPr>
              <w:pStyle w:val="Compact"/>
              <w:jc w:val="right"/>
            </w:pPr>
            <w:r>
              <w:t xml:space="preserve">1</w:t>
            </w:r>
          </w:p>
        </w:tc>
        <w:tc>
          <w:p>
            <w:pPr>
              <w:pStyle w:val="Compact"/>
              <w:jc w:val="left"/>
            </w:pPr>
            <w:r>
              <w:t xml:space="preserve">Medea_2011</w:t>
            </w:r>
          </w:p>
        </w:tc>
        <w:tc>
          <w:p>
            <w:pPr>
              <w:pStyle w:val="Compact"/>
              <w:jc w:val="left"/>
            </w:pPr>
            <w:r>
              <w:t xml:space="preserve">Hombres</w:t>
            </w:r>
          </w:p>
        </w:tc>
        <w:tc>
          <w:p>
            <w:pPr>
              <w:pStyle w:val="Compact"/>
              <w:jc w:val="right"/>
            </w:pPr>
            <w:r>
              <w:t xml:space="preserve">2.77</w:t>
            </w:r>
          </w:p>
        </w:tc>
        <w:tc>
          <w:p>
            <w:pPr>
              <w:pStyle w:val="Compact"/>
              <w:jc w:val="right"/>
            </w:pPr>
            <w:r>
              <w:t xml:space="preserve">1.41</w:t>
            </w:r>
          </w:p>
        </w:tc>
        <w:tc>
          <w:p>
            <w:pPr>
              <w:pStyle w:val="Compact"/>
              <w:jc w:val="right"/>
            </w:pPr>
            <w:r>
              <w:t xml:space="preserve">5.63</w:t>
            </w:r>
          </w:p>
        </w:tc>
        <w:tc>
          <w:p>
            <w:pPr>
              <w:pStyle w:val="Compact"/>
              <w:jc w:val="right"/>
            </w:pPr>
            <w:r>
              <w:t xml:space="preserve">274.70</w:t>
            </w:r>
          </w:p>
        </w:tc>
      </w:tr>
      <w:tr>
        <w:tc>
          <w:p>
            <w:pPr>
              <w:pStyle w:val="Compact"/>
              <w:jc w:val="left"/>
            </w:pPr>
            <w:r>
              <w:t xml:space="preserve">Periodo -2015</w:t>
            </w:r>
          </w:p>
        </w:tc>
        <w:tc>
          <w:p>
            <w:pPr>
              <w:pStyle w:val="Compact"/>
              <w:jc w:val="right"/>
            </w:pPr>
            <w:r>
              <w:t xml:space="preserve">2</w:t>
            </w:r>
          </w:p>
        </w:tc>
        <w:tc>
          <w:p>
            <w:pPr>
              <w:pStyle w:val="Compact"/>
              <w:jc w:val="left"/>
            </w:pPr>
            <w:r>
              <w:t xml:space="preserve">Medea_2011</w:t>
            </w:r>
          </w:p>
        </w:tc>
        <w:tc>
          <w:p>
            <w:pPr>
              <w:pStyle w:val="Compact"/>
              <w:jc w:val="left"/>
            </w:pPr>
            <w:r>
              <w:t xml:space="preserve">Hombres</w:t>
            </w:r>
          </w:p>
        </w:tc>
        <w:tc>
          <w:p>
            <w:pPr>
              <w:pStyle w:val="Compact"/>
              <w:jc w:val="right"/>
            </w:pPr>
            <w:r>
              <w:t xml:space="preserve">1.42</w:t>
            </w:r>
          </w:p>
        </w:tc>
        <w:tc>
          <w:p>
            <w:pPr>
              <w:pStyle w:val="Compact"/>
              <w:jc w:val="right"/>
            </w:pPr>
            <w:r>
              <w:t xml:space="preserve">0.97</w:t>
            </w:r>
          </w:p>
        </w:tc>
        <w:tc>
          <w:p>
            <w:pPr>
              <w:pStyle w:val="Compact"/>
              <w:jc w:val="right"/>
            </w:pPr>
            <w:r>
              <w:t xml:space="preserve">2.09</w:t>
            </w:r>
          </w:p>
        </w:tc>
        <w:tc>
          <w:p>
            <w:pPr>
              <w:pStyle w:val="Compact"/>
              <w:jc w:val="right"/>
            </w:pPr>
            <w:r>
              <w:t xml:space="preserve">425.63</w:t>
            </w:r>
          </w:p>
        </w:tc>
      </w:tr>
      <w:tr>
        <w:tc>
          <w:p>
            <w:pPr>
              <w:pStyle w:val="Compact"/>
              <w:jc w:val="left"/>
            </w:pPr>
            <w:r>
              <w:t xml:space="preserve">Periodo -2015</w:t>
            </w:r>
          </w:p>
        </w:tc>
        <w:tc>
          <w:p>
            <w:pPr>
              <w:pStyle w:val="Compact"/>
              <w:jc w:val="right"/>
            </w:pPr>
            <w:r>
              <w:t xml:space="preserve">5</w:t>
            </w:r>
          </w:p>
        </w:tc>
        <w:tc>
          <w:p>
            <w:pPr>
              <w:pStyle w:val="Compact"/>
              <w:jc w:val="left"/>
            </w:pPr>
            <w:r>
              <w:t xml:space="preserve">Medea_2011</w:t>
            </w:r>
          </w:p>
        </w:tc>
        <w:tc>
          <w:p>
            <w:pPr>
              <w:pStyle w:val="Compact"/>
              <w:jc w:val="left"/>
            </w:pPr>
            <w:r>
              <w:t xml:space="preserve">Hombres</w:t>
            </w:r>
          </w:p>
        </w:tc>
        <w:tc>
          <w:p>
            <w:pPr>
              <w:pStyle w:val="Compact"/>
              <w:jc w:val="right"/>
            </w:pPr>
            <w:r>
              <w:t xml:space="preserve">1.46</w:t>
            </w:r>
          </w:p>
        </w:tc>
        <w:tc>
          <w:p>
            <w:pPr>
              <w:pStyle w:val="Compact"/>
              <w:jc w:val="right"/>
            </w:pPr>
            <w:r>
              <w:t xml:space="preserve">1.14</w:t>
            </w:r>
          </w:p>
        </w:tc>
        <w:tc>
          <w:p>
            <w:pPr>
              <w:pStyle w:val="Compact"/>
              <w:jc w:val="right"/>
            </w:pPr>
            <w:r>
              <w:t xml:space="preserve">1.85</w:t>
            </w:r>
          </w:p>
        </w:tc>
        <w:tc>
          <w:p>
            <w:pPr>
              <w:pStyle w:val="Compact"/>
              <w:jc w:val="right"/>
            </w:pPr>
            <w:r>
              <w:t xml:space="preserve">570.71</w:t>
            </w:r>
          </w:p>
        </w:tc>
      </w:tr>
      <w:tr>
        <w:tc>
          <w:p>
            <w:pPr>
              <w:pStyle w:val="Compact"/>
              <w:jc w:val="left"/>
            </w:pPr>
            <w:r>
              <w:t xml:space="preserve">Periodo -2015</w:t>
            </w:r>
          </w:p>
        </w:tc>
        <w:tc>
          <w:p>
            <w:pPr>
              <w:pStyle w:val="Compact"/>
              <w:jc w:val="right"/>
            </w:pPr>
            <w:r>
              <w:t xml:space="preserve">7</w:t>
            </w:r>
          </w:p>
        </w:tc>
        <w:tc>
          <w:p>
            <w:pPr>
              <w:pStyle w:val="Compact"/>
              <w:jc w:val="left"/>
            </w:pPr>
            <w:r>
              <w:t xml:space="preserve">Medea_2011</w:t>
            </w:r>
          </w:p>
        </w:tc>
        <w:tc>
          <w:p>
            <w:pPr>
              <w:pStyle w:val="Compact"/>
              <w:jc w:val="left"/>
            </w:pPr>
            <w:r>
              <w:t xml:space="preserve">Hombres</w:t>
            </w:r>
          </w:p>
        </w:tc>
        <w:tc>
          <w:p>
            <w:pPr>
              <w:pStyle w:val="Compact"/>
              <w:jc w:val="right"/>
            </w:pPr>
            <w:r>
              <w:t xml:space="preserve">1.46</w:t>
            </w:r>
          </w:p>
        </w:tc>
        <w:tc>
          <w:p>
            <w:pPr>
              <w:pStyle w:val="Compact"/>
              <w:jc w:val="right"/>
            </w:pPr>
            <w:r>
              <w:t xml:space="preserve">1.22</w:t>
            </w:r>
          </w:p>
        </w:tc>
        <w:tc>
          <w:p>
            <w:pPr>
              <w:pStyle w:val="Compact"/>
              <w:jc w:val="right"/>
            </w:pPr>
            <w:r>
              <w:t xml:space="preserve">1.76</w:t>
            </w:r>
          </w:p>
        </w:tc>
        <w:tc>
          <w:p>
            <w:pPr>
              <w:pStyle w:val="Compact"/>
              <w:jc w:val="right"/>
            </w:pPr>
            <w:r>
              <w:t xml:space="preserve">654.66</w:t>
            </w:r>
          </w:p>
        </w:tc>
      </w:tr>
      <w:tr>
        <w:tc>
          <w:p>
            <w:pPr>
              <w:pStyle w:val="Compact"/>
              <w:jc w:val="left"/>
            </w:pPr>
            <w:r>
              <w:t xml:space="preserve">Periodo -2015</w:t>
            </w:r>
          </w:p>
        </w:tc>
        <w:tc>
          <w:p>
            <w:pPr>
              <w:pStyle w:val="Compact"/>
              <w:jc w:val="right"/>
            </w:pPr>
            <w:r>
              <w:t xml:space="preserve">9</w:t>
            </w:r>
          </w:p>
        </w:tc>
        <w:tc>
          <w:p>
            <w:pPr>
              <w:pStyle w:val="Compact"/>
              <w:jc w:val="left"/>
            </w:pPr>
            <w:r>
              <w:t xml:space="preserve">Medea_2011</w:t>
            </w:r>
          </w:p>
        </w:tc>
        <w:tc>
          <w:p>
            <w:pPr>
              <w:pStyle w:val="Compact"/>
              <w:jc w:val="left"/>
            </w:pPr>
            <w:r>
              <w:t xml:space="preserve">Hombres</w:t>
            </w:r>
          </w:p>
        </w:tc>
        <w:tc>
          <w:p>
            <w:pPr>
              <w:pStyle w:val="Compact"/>
              <w:jc w:val="right"/>
            </w:pPr>
            <w:r>
              <w:t xml:space="preserve">0.97</w:t>
            </w:r>
          </w:p>
        </w:tc>
        <w:tc>
          <w:p>
            <w:pPr>
              <w:pStyle w:val="Compact"/>
              <w:jc w:val="right"/>
            </w:pPr>
            <w:r>
              <w:t xml:space="preserve">0.72</w:t>
            </w:r>
          </w:p>
        </w:tc>
        <w:tc>
          <w:p>
            <w:pPr>
              <w:pStyle w:val="Compact"/>
              <w:jc w:val="right"/>
            </w:pPr>
            <w:r>
              <w:t xml:space="preserve">1.30</w:t>
            </w:r>
          </w:p>
        </w:tc>
        <w:tc>
          <w:p>
            <w:pPr>
              <w:pStyle w:val="Compact"/>
              <w:jc w:val="right"/>
            </w:pPr>
            <w:r>
              <w:t xml:space="preserve">476.49</w:t>
            </w:r>
          </w:p>
        </w:tc>
      </w:tr>
      <w:tr>
        <w:tc>
          <w:p>
            <w:pPr>
              <w:pStyle w:val="Compact"/>
              <w:jc w:val="left"/>
            </w:pPr>
            <w:r>
              <w:t xml:space="preserve">Periodo -2015</w:t>
            </w:r>
          </w:p>
        </w:tc>
        <w:tc>
          <w:p>
            <w:pPr>
              <w:pStyle w:val="Compact"/>
              <w:jc w:val="right"/>
            </w:pPr>
            <w:r>
              <w:t xml:space="preserve">10</w:t>
            </w:r>
          </w:p>
        </w:tc>
        <w:tc>
          <w:p>
            <w:pPr>
              <w:pStyle w:val="Compact"/>
              <w:jc w:val="left"/>
            </w:pPr>
            <w:r>
              <w:t xml:space="preserve">Medea_2011</w:t>
            </w:r>
          </w:p>
        </w:tc>
        <w:tc>
          <w:p>
            <w:pPr>
              <w:pStyle w:val="Compact"/>
              <w:jc w:val="left"/>
            </w:pPr>
            <w:r>
              <w:t xml:space="preserve">Hombres</w:t>
            </w:r>
          </w:p>
        </w:tc>
        <w:tc>
          <w:p>
            <w:pPr>
              <w:pStyle w:val="Compact"/>
              <w:jc w:val="right"/>
            </w:pPr>
            <w:r>
              <w:t xml:space="preserve">1.40</w:t>
            </w:r>
          </w:p>
        </w:tc>
        <w:tc>
          <w:p>
            <w:pPr>
              <w:pStyle w:val="Compact"/>
              <w:jc w:val="right"/>
            </w:pPr>
            <w:r>
              <w:t xml:space="preserve">1.00</w:t>
            </w:r>
          </w:p>
        </w:tc>
        <w:tc>
          <w:p>
            <w:pPr>
              <w:pStyle w:val="Compact"/>
              <w:jc w:val="right"/>
            </w:pPr>
            <w:r>
              <w:t xml:space="preserve">1.95</w:t>
            </w:r>
          </w:p>
        </w:tc>
        <w:tc>
          <w:p>
            <w:pPr>
              <w:pStyle w:val="Compact"/>
              <w:jc w:val="right"/>
            </w:pPr>
            <w:r>
              <w:t xml:space="preserve">450.82</w:t>
            </w:r>
          </w:p>
        </w:tc>
      </w:tr>
      <w:tr>
        <w:tc>
          <w:p>
            <w:pPr>
              <w:pStyle w:val="Compact"/>
              <w:jc w:val="left"/>
            </w:pPr>
            <w:r>
              <w:t xml:space="preserve">Periodo -2015</w:t>
            </w:r>
          </w:p>
        </w:tc>
        <w:tc>
          <w:p>
            <w:pPr>
              <w:pStyle w:val="Compact"/>
              <w:jc w:val="right"/>
            </w:pPr>
            <w:r>
              <w:t xml:space="preserve">11</w:t>
            </w:r>
          </w:p>
        </w:tc>
        <w:tc>
          <w:p>
            <w:pPr>
              <w:pStyle w:val="Compact"/>
              <w:jc w:val="left"/>
            </w:pPr>
            <w:r>
              <w:t xml:space="preserve">Medea_2011</w:t>
            </w:r>
          </w:p>
        </w:tc>
        <w:tc>
          <w:p>
            <w:pPr>
              <w:pStyle w:val="Compact"/>
              <w:jc w:val="left"/>
            </w:pPr>
            <w:r>
              <w:t xml:space="preserve">Hombres</w:t>
            </w:r>
          </w:p>
        </w:tc>
        <w:tc>
          <w:p>
            <w:pPr>
              <w:pStyle w:val="Compact"/>
              <w:jc w:val="right"/>
            </w:pPr>
            <w:r>
              <w:t xml:space="preserve">1.21</w:t>
            </w:r>
          </w:p>
        </w:tc>
        <w:tc>
          <w:p>
            <w:pPr>
              <w:pStyle w:val="Compact"/>
              <w:jc w:val="right"/>
            </w:pPr>
            <w:r>
              <w:t xml:space="preserve">0.82</w:t>
            </w:r>
          </w:p>
        </w:tc>
        <w:tc>
          <w:p>
            <w:pPr>
              <w:pStyle w:val="Compact"/>
              <w:jc w:val="right"/>
            </w:pPr>
            <w:r>
              <w:t xml:space="preserve">1.78</w:t>
            </w:r>
          </w:p>
        </w:tc>
        <w:tc>
          <w:p>
            <w:pPr>
              <w:pStyle w:val="Compact"/>
              <w:jc w:val="right"/>
            </w:pPr>
            <w:r>
              <w:t xml:space="preserve">448.82</w:t>
            </w:r>
          </w:p>
        </w:tc>
      </w:tr>
      <w:tr>
        <w:tc>
          <w:p>
            <w:pPr>
              <w:pStyle w:val="Compact"/>
              <w:jc w:val="left"/>
            </w:pPr>
            <w:r>
              <w:t xml:space="preserve">Periodo -2015</w:t>
            </w:r>
          </w:p>
        </w:tc>
        <w:tc>
          <w:p>
            <w:pPr>
              <w:pStyle w:val="Compact"/>
              <w:jc w:val="right"/>
            </w:pPr>
            <w:r>
              <w:t xml:space="preserve">12</w:t>
            </w:r>
          </w:p>
        </w:tc>
        <w:tc>
          <w:p>
            <w:pPr>
              <w:pStyle w:val="Compact"/>
              <w:jc w:val="left"/>
            </w:pPr>
            <w:r>
              <w:t xml:space="preserve">Medea_2011</w:t>
            </w:r>
          </w:p>
        </w:tc>
        <w:tc>
          <w:p>
            <w:pPr>
              <w:pStyle w:val="Compact"/>
              <w:jc w:val="left"/>
            </w:pPr>
            <w:r>
              <w:t xml:space="preserve">Hombres</w:t>
            </w:r>
          </w:p>
        </w:tc>
        <w:tc>
          <w:p>
            <w:pPr>
              <w:pStyle w:val="Compact"/>
              <w:jc w:val="right"/>
            </w:pPr>
            <w:r>
              <w:t xml:space="preserve">1.34</w:t>
            </w:r>
          </w:p>
        </w:tc>
        <w:tc>
          <w:p>
            <w:pPr>
              <w:pStyle w:val="Compact"/>
              <w:jc w:val="right"/>
            </w:pPr>
            <w:r>
              <w:t xml:space="preserve">0.84</w:t>
            </w:r>
          </w:p>
        </w:tc>
        <w:tc>
          <w:p>
            <w:pPr>
              <w:pStyle w:val="Compact"/>
              <w:jc w:val="right"/>
            </w:pPr>
            <w:r>
              <w:t xml:space="preserve">2.13</w:t>
            </w:r>
          </w:p>
        </w:tc>
        <w:tc>
          <w:p>
            <w:pPr>
              <w:pStyle w:val="Compact"/>
              <w:jc w:val="right"/>
            </w:pPr>
            <w:r>
              <w:t xml:space="preserve">368.42</w:t>
            </w:r>
          </w:p>
        </w:tc>
      </w:tr>
      <w:tr>
        <w:tc>
          <w:p>
            <w:pPr>
              <w:pStyle w:val="Compact"/>
              <w:jc w:val="left"/>
            </w:pPr>
            <w:r>
              <w:t xml:space="preserve">Periodo -2015</w:t>
            </w:r>
          </w:p>
        </w:tc>
        <w:tc>
          <w:p>
            <w:pPr>
              <w:pStyle w:val="Compact"/>
              <w:jc w:val="right"/>
            </w:pPr>
            <w:r>
              <w:t xml:space="preserve">15</w:t>
            </w:r>
          </w:p>
        </w:tc>
        <w:tc>
          <w:p>
            <w:pPr>
              <w:pStyle w:val="Compact"/>
              <w:jc w:val="left"/>
            </w:pPr>
            <w:r>
              <w:t xml:space="preserve">Medea_2011</w:t>
            </w:r>
          </w:p>
        </w:tc>
        <w:tc>
          <w:p>
            <w:pPr>
              <w:pStyle w:val="Compact"/>
              <w:jc w:val="left"/>
            </w:pPr>
            <w:r>
              <w:t xml:space="preserve">Hombres</w:t>
            </w:r>
          </w:p>
        </w:tc>
        <w:tc>
          <w:p>
            <w:pPr>
              <w:pStyle w:val="Compact"/>
              <w:jc w:val="right"/>
            </w:pPr>
            <w:r>
              <w:t xml:space="preserve">0.64</w:t>
            </w:r>
          </w:p>
        </w:tc>
        <w:tc>
          <w:p>
            <w:pPr>
              <w:pStyle w:val="Compact"/>
              <w:jc w:val="right"/>
            </w:pPr>
            <w:r>
              <w:t xml:space="preserve">0.41</w:t>
            </w:r>
          </w:p>
        </w:tc>
        <w:tc>
          <w:p>
            <w:pPr>
              <w:pStyle w:val="Compact"/>
              <w:jc w:val="right"/>
            </w:pPr>
            <w:r>
              <w:t xml:space="preserve">0.98</w:t>
            </w:r>
          </w:p>
        </w:tc>
        <w:tc>
          <w:p>
            <w:pPr>
              <w:pStyle w:val="Compact"/>
              <w:jc w:val="right"/>
            </w:pPr>
            <w:r>
              <w:t xml:space="preserve">419.15</w:t>
            </w:r>
          </w:p>
        </w:tc>
      </w:tr>
      <w:tr>
        <w:tc>
          <w:p>
            <w:pPr>
              <w:pStyle w:val="Compact"/>
              <w:jc w:val="left"/>
            </w:pPr>
            <w:r>
              <w:t xml:space="preserve">Periodo -2015</w:t>
            </w:r>
          </w:p>
        </w:tc>
        <w:tc>
          <w:p>
            <w:pPr>
              <w:pStyle w:val="Compact"/>
              <w:jc w:val="right"/>
            </w:pPr>
            <w:r>
              <w:t xml:space="preserve">16</w:t>
            </w:r>
          </w:p>
        </w:tc>
        <w:tc>
          <w:p>
            <w:pPr>
              <w:pStyle w:val="Compact"/>
              <w:jc w:val="left"/>
            </w:pPr>
            <w:r>
              <w:t xml:space="preserve">Medea_2011</w:t>
            </w:r>
          </w:p>
        </w:tc>
        <w:tc>
          <w:p>
            <w:pPr>
              <w:pStyle w:val="Compact"/>
              <w:jc w:val="left"/>
            </w:pPr>
            <w:r>
              <w:t xml:space="preserve">Hombres</w:t>
            </w:r>
          </w:p>
        </w:tc>
        <w:tc>
          <w:p>
            <w:pPr>
              <w:pStyle w:val="Compact"/>
              <w:jc w:val="right"/>
            </w:pPr>
            <w:r>
              <w:t xml:space="preserve">1.16</w:t>
            </w:r>
          </w:p>
        </w:tc>
        <w:tc>
          <w:p>
            <w:pPr>
              <w:pStyle w:val="Compact"/>
              <w:jc w:val="right"/>
            </w:pPr>
            <w:r>
              <w:t xml:space="preserve">0.95</w:t>
            </w:r>
          </w:p>
        </w:tc>
        <w:tc>
          <w:p>
            <w:pPr>
              <w:pStyle w:val="Compact"/>
              <w:jc w:val="right"/>
            </w:pPr>
            <w:r>
              <w:t xml:space="preserve">1.41</w:t>
            </w:r>
          </w:p>
        </w:tc>
        <w:tc>
          <w:p>
            <w:pPr>
              <w:pStyle w:val="Compact"/>
              <w:jc w:val="right"/>
            </w:pPr>
            <w:r>
              <w:t xml:space="preserve">657.86</w:t>
            </w:r>
          </w:p>
        </w:tc>
      </w:tr>
      <w:tr>
        <w:tc>
          <w:p>
            <w:pPr>
              <w:pStyle w:val="Compact"/>
              <w:jc w:val="left"/>
            </w:pPr>
            <w:r>
              <w:t xml:space="preserve">Periodo -2015</w:t>
            </w:r>
          </w:p>
        </w:tc>
        <w:tc>
          <w:p>
            <w:pPr>
              <w:pStyle w:val="Compact"/>
              <w:jc w:val="right"/>
            </w:pPr>
            <w:r>
              <w:t xml:space="preserve">17</w:t>
            </w:r>
          </w:p>
        </w:tc>
        <w:tc>
          <w:p>
            <w:pPr>
              <w:pStyle w:val="Compact"/>
              <w:jc w:val="left"/>
            </w:pPr>
            <w:r>
              <w:t xml:space="preserve">Medea_2011</w:t>
            </w:r>
          </w:p>
        </w:tc>
        <w:tc>
          <w:p>
            <w:pPr>
              <w:pStyle w:val="Compact"/>
              <w:jc w:val="left"/>
            </w:pPr>
            <w:r>
              <w:t xml:space="preserve">Hombres</w:t>
            </w:r>
          </w:p>
        </w:tc>
        <w:tc>
          <w:p>
            <w:pPr>
              <w:pStyle w:val="Compact"/>
              <w:jc w:val="right"/>
            </w:pPr>
            <w:r>
              <w:t xml:space="preserve">1.20</w:t>
            </w:r>
          </w:p>
        </w:tc>
        <w:tc>
          <w:p>
            <w:pPr>
              <w:pStyle w:val="Compact"/>
              <w:jc w:val="right"/>
            </w:pPr>
            <w:r>
              <w:t xml:space="preserve">0.94</w:t>
            </w:r>
          </w:p>
        </w:tc>
        <w:tc>
          <w:p>
            <w:pPr>
              <w:pStyle w:val="Compact"/>
              <w:jc w:val="right"/>
            </w:pPr>
            <w:r>
              <w:t xml:space="preserve">1.51</w:t>
            </w:r>
          </w:p>
        </w:tc>
        <w:tc>
          <w:p>
            <w:pPr>
              <w:pStyle w:val="Compact"/>
              <w:jc w:val="right"/>
            </w:pPr>
            <w:r>
              <w:t xml:space="preserve">609.35</w:t>
            </w:r>
          </w:p>
        </w:tc>
      </w:tr>
      <w:tr>
        <w:tc>
          <w:p>
            <w:pPr>
              <w:pStyle w:val="Compact"/>
              <w:jc w:val="left"/>
            </w:pPr>
            <w:r>
              <w:t xml:space="preserve">Periodo -2015</w:t>
            </w:r>
          </w:p>
        </w:tc>
        <w:tc>
          <w:p>
            <w:pPr>
              <w:pStyle w:val="Compact"/>
              <w:jc w:val="right"/>
            </w:pPr>
            <w:r>
              <w:t xml:space="preserve">18</w:t>
            </w:r>
          </w:p>
        </w:tc>
        <w:tc>
          <w:p>
            <w:pPr>
              <w:pStyle w:val="Compact"/>
              <w:jc w:val="left"/>
            </w:pPr>
            <w:r>
              <w:t xml:space="preserve">Medea_2011</w:t>
            </w:r>
          </w:p>
        </w:tc>
        <w:tc>
          <w:p>
            <w:pPr>
              <w:pStyle w:val="Compact"/>
              <w:jc w:val="left"/>
            </w:pPr>
            <w:r>
              <w:t xml:space="preserve">Hombres</w:t>
            </w:r>
          </w:p>
        </w:tc>
        <w:tc>
          <w:p>
            <w:pPr>
              <w:pStyle w:val="Compact"/>
              <w:jc w:val="right"/>
            </w:pPr>
            <w:r>
              <w:t xml:space="preserve">1.61</w:t>
            </w:r>
          </w:p>
        </w:tc>
        <w:tc>
          <w:p>
            <w:pPr>
              <w:pStyle w:val="Compact"/>
              <w:jc w:val="right"/>
            </w:pPr>
            <w:r>
              <w:t xml:space="preserve">1.18</w:t>
            </w:r>
          </w:p>
        </w:tc>
        <w:tc>
          <w:p>
            <w:pPr>
              <w:pStyle w:val="Compact"/>
              <w:jc w:val="right"/>
            </w:pPr>
            <w:r>
              <w:t xml:space="preserve">2.20</w:t>
            </w:r>
          </w:p>
        </w:tc>
        <w:tc>
          <w:p>
            <w:pPr>
              <w:pStyle w:val="Compact"/>
              <w:jc w:val="right"/>
            </w:pPr>
            <w:r>
              <w:t xml:space="preserve">566.57</w:t>
            </w:r>
          </w:p>
        </w:tc>
      </w:tr>
      <w:tr>
        <w:tc>
          <w:p>
            <w:pPr>
              <w:pStyle w:val="Compact"/>
              <w:jc w:val="left"/>
            </w:pPr>
            <w:r>
              <w:t xml:space="preserve">Periodo -2015</w:t>
            </w:r>
          </w:p>
        </w:tc>
        <w:tc>
          <w:p>
            <w:pPr>
              <w:pStyle w:val="Compact"/>
              <w:jc w:val="right"/>
            </w:pPr>
            <w:r>
              <w:t xml:space="preserve">19</w:t>
            </w:r>
          </w:p>
        </w:tc>
        <w:tc>
          <w:p>
            <w:pPr>
              <w:pStyle w:val="Compact"/>
              <w:jc w:val="left"/>
            </w:pPr>
            <w:r>
              <w:t xml:space="preserve">Medea_2011</w:t>
            </w:r>
          </w:p>
        </w:tc>
        <w:tc>
          <w:p>
            <w:pPr>
              <w:pStyle w:val="Compact"/>
              <w:jc w:val="left"/>
            </w:pPr>
            <w:r>
              <w:t xml:space="preserve">Hombres</w:t>
            </w:r>
          </w:p>
        </w:tc>
        <w:tc>
          <w:p>
            <w:pPr>
              <w:pStyle w:val="Compact"/>
              <w:jc w:val="right"/>
            </w:pPr>
            <w:r>
              <w:t xml:space="preserve">1.69</w:t>
            </w:r>
          </w:p>
        </w:tc>
        <w:tc>
          <w:p>
            <w:pPr>
              <w:pStyle w:val="Compact"/>
              <w:jc w:val="right"/>
            </w:pPr>
            <w:r>
              <w:t xml:space="preserve">1.15</w:t>
            </w:r>
          </w:p>
        </w:tc>
        <w:tc>
          <w:p>
            <w:pPr>
              <w:pStyle w:val="Compact"/>
              <w:jc w:val="right"/>
            </w:pPr>
            <w:r>
              <w:t xml:space="preserve">2.50</w:t>
            </w:r>
          </w:p>
        </w:tc>
        <w:tc>
          <w:p>
            <w:pPr>
              <w:pStyle w:val="Compact"/>
              <w:jc w:val="right"/>
            </w:pPr>
            <w:r>
              <w:t xml:space="preserve">410.39</w:t>
            </w:r>
          </w:p>
        </w:tc>
      </w:tr>
      <w:tr>
        <w:tc>
          <w:p>
            <w:pPr>
              <w:pStyle w:val="Compact"/>
              <w:jc w:val="left"/>
            </w:pPr>
            <w:r>
              <w:t xml:space="preserve">Periodo -2015</w:t>
            </w:r>
          </w:p>
        </w:tc>
        <w:tc>
          <w:p>
            <w:pPr>
              <w:pStyle w:val="Compact"/>
              <w:jc w:val="right"/>
            </w:pPr>
            <w:r>
              <w:t xml:space="preserve">20</w:t>
            </w:r>
          </w:p>
        </w:tc>
        <w:tc>
          <w:p>
            <w:pPr>
              <w:pStyle w:val="Compact"/>
              <w:jc w:val="left"/>
            </w:pPr>
            <w:r>
              <w:t xml:space="preserve">Medea_2011</w:t>
            </w:r>
          </w:p>
        </w:tc>
        <w:tc>
          <w:p>
            <w:pPr>
              <w:pStyle w:val="Compact"/>
              <w:jc w:val="left"/>
            </w:pPr>
            <w:r>
              <w:t xml:space="preserve">Hombres</w:t>
            </w:r>
          </w:p>
        </w:tc>
        <w:tc>
          <w:p>
            <w:pPr>
              <w:pStyle w:val="Compact"/>
              <w:jc w:val="right"/>
            </w:pPr>
            <w:r>
              <w:t xml:space="preserve">1.39</w:t>
            </w:r>
          </w:p>
        </w:tc>
        <w:tc>
          <w:p>
            <w:pPr>
              <w:pStyle w:val="Compact"/>
              <w:jc w:val="right"/>
            </w:pPr>
            <w:r>
              <w:t xml:space="preserve">0.63</w:t>
            </w:r>
          </w:p>
        </w:tc>
        <w:tc>
          <w:p>
            <w:pPr>
              <w:pStyle w:val="Compact"/>
              <w:jc w:val="right"/>
            </w:pPr>
            <w:r>
              <w:t xml:space="preserve">3.08</w:t>
            </w:r>
          </w:p>
        </w:tc>
        <w:tc>
          <w:p>
            <w:pPr>
              <w:pStyle w:val="Compact"/>
              <w:jc w:val="right"/>
            </w:pPr>
            <w:r>
              <w:t xml:space="preserve">241.63</w:t>
            </w:r>
          </w:p>
        </w:tc>
      </w:tr>
      <w:tr>
        <w:tc>
          <w:p>
            <w:pPr>
              <w:pStyle w:val="Compact"/>
              <w:jc w:val="left"/>
            </w:pPr>
            <w:r>
              <w:t xml:space="preserve">Periodo -2015</w:t>
            </w:r>
          </w:p>
        </w:tc>
        <w:tc>
          <w:p>
            <w:pPr>
              <w:pStyle w:val="Compact"/>
              <w:jc w:val="right"/>
            </w:pPr>
            <w:r>
              <w:t xml:space="preserve">21</w:t>
            </w:r>
          </w:p>
        </w:tc>
        <w:tc>
          <w:p>
            <w:pPr>
              <w:pStyle w:val="Compact"/>
              <w:jc w:val="left"/>
            </w:pPr>
            <w:r>
              <w:t xml:space="preserve">Medea_2011</w:t>
            </w:r>
          </w:p>
        </w:tc>
        <w:tc>
          <w:p>
            <w:pPr>
              <w:pStyle w:val="Compact"/>
              <w:jc w:val="left"/>
            </w:pPr>
            <w:r>
              <w:t xml:space="preserve">Hombres</w:t>
            </w:r>
          </w:p>
        </w:tc>
        <w:tc>
          <w:p>
            <w:pPr>
              <w:pStyle w:val="Compact"/>
              <w:jc w:val="right"/>
            </w:pPr>
            <w:r>
              <w:t xml:space="preserve">2.51</w:t>
            </w:r>
          </w:p>
        </w:tc>
        <w:tc>
          <w:p>
            <w:pPr>
              <w:pStyle w:val="Compact"/>
              <w:jc w:val="right"/>
            </w:pPr>
            <w:r>
              <w:t xml:space="preserve">1.11</w:t>
            </w:r>
          </w:p>
        </w:tc>
        <w:tc>
          <w:p>
            <w:pPr>
              <w:pStyle w:val="Compact"/>
              <w:jc w:val="right"/>
            </w:pPr>
            <w:r>
              <w:t xml:space="preserve">5.73</w:t>
            </w:r>
          </w:p>
        </w:tc>
        <w:tc>
          <w:p>
            <w:pPr>
              <w:pStyle w:val="Compact"/>
              <w:jc w:val="right"/>
            </w:pPr>
            <w:r>
              <w:t xml:space="preserve">206.66</w:t>
            </w:r>
          </w:p>
        </w:tc>
      </w:tr>
    </w:tbl>
    <w:p>
      <w:pPr>
        <w:pStyle w:val="BodyText"/>
      </w:pPr>
      <w:r>
        <w:t xml:space="preserve">Representamos ne la figura nº 28 los riesgos relativos para las causas :</w:t>
      </w:r>
      <w:r>
        <w:t xml:space="preserve"> </w:t>
      </w:r>
      <w:r>
        <w:t xml:space="preserve">“</w:t>
      </w:r>
      <w:r>
        <w:t xml:space="preserve">01</w:t>
      </w:r>
      <w:r>
        <w:t xml:space="preserve">”</w:t>
      </w:r>
      <w:r>
        <w:t xml:space="preserve">,</w:t>
      </w:r>
      <w:r>
        <w:t xml:space="preserve">“</w:t>
      </w:r>
      <w:r>
        <w:t xml:space="preserve">02</w:t>
      </w:r>
      <w:r>
        <w:t xml:space="preserve">”</w:t>
      </w:r>
      <w:r>
        <w:t xml:space="preserve">,</w:t>
      </w:r>
      <w:r>
        <w:t xml:space="preserve">“</w:t>
      </w:r>
      <w:r>
        <w:t xml:space="preserve">05</w:t>
      </w:r>
      <w:r>
        <w:t xml:space="preserve">”</w:t>
      </w:r>
      <w:r>
        <w:t xml:space="preserve">,</w:t>
      </w:r>
      <w:r>
        <w:t xml:space="preserve">“</w:t>
      </w:r>
      <w:r>
        <w:t xml:space="preserve">07</w:t>
      </w:r>
      <w:r>
        <w:t xml:space="preserve">”</w:t>
      </w:r>
      <w:r>
        <w:t xml:space="preserve">,</w:t>
      </w:r>
      <w:r>
        <w:t xml:space="preserve">“</w:t>
      </w:r>
      <w:r>
        <w:t xml:space="preserve">09</w:t>
      </w:r>
      <w:r>
        <w:t xml:space="preserve">”</w:t>
      </w:r>
      <w:r>
        <w:t xml:space="preserve">,</w:t>
      </w:r>
      <w:r>
        <w:t xml:space="preserve"> </w:t>
      </w:r>
      <w:r>
        <w:t xml:space="preserve">“</w:t>
      </w:r>
      <w:r>
        <w:t xml:space="preserve">10</w:t>
      </w:r>
      <w:r>
        <w:t xml:space="preserve">”</w:t>
      </w:r>
      <w:r>
        <w:t xml:space="preserve">,</w:t>
      </w:r>
      <w:r>
        <w:t xml:space="preserve">“</w:t>
      </w:r>
      <w:r>
        <w:t xml:space="preserve">11</w:t>
      </w:r>
      <w:r>
        <w:t xml:space="preserve">”</w:t>
      </w:r>
      <w:r>
        <w:t xml:space="preserve">,</w:t>
      </w:r>
      <w:r>
        <w:t xml:space="preserve">“</w:t>
      </w:r>
      <w:r>
        <w:t xml:space="preserve">12</w:t>
      </w:r>
      <w:r>
        <w:t xml:space="preserve">”</w:t>
      </w:r>
      <w:r>
        <w:t xml:space="preserve">,</w:t>
      </w:r>
      <w:r>
        <w:t xml:space="preserve">“</w:t>
      </w:r>
      <w:r>
        <w:t xml:space="preserve">15</w:t>
      </w:r>
      <w:r>
        <w:t xml:space="preserve">”</w:t>
      </w:r>
      <w:r>
        <w:t xml:space="preserve">,</w:t>
      </w:r>
      <w:r>
        <w:t xml:space="preserve">“</w:t>
      </w:r>
      <w:r>
        <w:t xml:space="preserve">16</w:t>
      </w:r>
      <w:r>
        <w:t xml:space="preserve">”</w:t>
      </w:r>
      <w:r>
        <w:t xml:space="preserve">,</w:t>
      </w:r>
      <w:r>
        <w:t xml:space="preserve">“</w:t>
      </w:r>
      <w:r>
        <w:t xml:space="preserve">17</w:t>
      </w:r>
      <w:r>
        <w:t xml:space="preserve">”</w:t>
      </w:r>
      <w:r>
        <w:t xml:space="preserve">,</w:t>
      </w:r>
      <w:r>
        <w:t xml:space="preserve">“</w:t>
      </w:r>
      <w:r>
        <w:t xml:space="preserve">18</w:t>
      </w:r>
      <w:r>
        <w:t xml:space="preserve">”</w:t>
      </w:r>
      <w:r>
        <w:t xml:space="preserve">,</w:t>
      </w:r>
      <w:r>
        <w:t xml:space="preserve">“</w:t>
      </w:r>
      <w:r>
        <w:t xml:space="preserve">19</w:t>
      </w:r>
      <w:r>
        <w:t xml:space="preserve">”</w:t>
      </w:r>
      <w:r>
        <w:t xml:space="preserve">,</w:t>
      </w:r>
      <w:r>
        <w:t xml:space="preserve">“</w:t>
      </w:r>
      <w:r>
        <w:t xml:space="preserve">20</w:t>
      </w:r>
      <w:r>
        <w:t xml:space="preserve">”</w:t>
      </w:r>
      <w:r>
        <w:t xml:space="preserve">,</w:t>
      </w:r>
      <w:r>
        <w:t xml:space="preserve">“</w:t>
      </w:r>
      <w:r>
        <w:t xml:space="preserve">21</w:t>
      </w:r>
      <w:r>
        <w:t xml:space="preserve">”</w:t>
      </w:r>
      <w:r>
        <w:t xml:space="preserve">. (Ver Anexo)</w:t>
      </w:r>
    </w:p>
    <w:p>
      <w:pPr>
        <w:pStyle w:val="BodyText"/>
      </w:pPr>
      <w:r>
        <w:drawing>
          <wp:inline>
            <wp:extent cx="4620126" cy="3696101"/>
            <wp:effectExtent b="0" l="0" r="0" t="0"/>
            <wp:docPr descr="" title="" id="1" name="Picture"/>
            <a:graphic>
              <a:graphicData uri="http://schemas.openxmlformats.org/drawingml/2006/picture">
                <pic:pic>
                  <pic:nvPicPr>
                    <pic:cNvPr descr="articulo_proyecto_medea_RMS_final_4_files/figure-docx/unnamed-chunk-49-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bookmarkEnd w:id="74"/>
    <w:bookmarkStart w:id="83" w:name="privación-multidimensional."/>
    <w:p>
      <w:pPr>
        <w:pStyle w:val="Heading3"/>
      </w:pPr>
      <w:r>
        <w:t xml:space="preserve">Privación Multidimensional.</w:t>
      </w:r>
    </w:p>
    <w:p>
      <w:pPr>
        <w:pStyle w:val="FirstParagraph"/>
      </w:pPr>
      <w:r>
        <w:t xml:space="preserve">Definimos la fórmula del modelo y ejecutamos la función</w:t>
      </w:r>
      <w:r>
        <w:t xml:space="preserve"> </w:t>
      </w:r>
      <w:r>
        <w:t xml:space="preserve">“</w:t>
      </w:r>
      <w:r>
        <w:t xml:space="preserve">inla</w:t>
      </w:r>
      <w:r>
        <w:t xml:space="preserve">”</w:t>
      </w:r>
      <w:r>
        <w:t xml:space="preserve">.</w:t>
      </w:r>
    </w:p>
    <w:p>
      <w:pPr>
        <w:pStyle w:val="SourceCode"/>
      </w:pPr>
      <w:r>
        <w:rPr>
          <w:rStyle w:val="NormalTok"/>
        </w:rPr>
        <w:t xml:space="preserve">sdunif       </w:t>
      </w:r>
      <w:r>
        <w:rPr>
          <w:rStyle w:val="OtherTok"/>
        </w:rPr>
        <w:t xml:space="preserve">&lt;-</w:t>
      </w:r>
      <w:r>
        <w:rPr>
          <w:rStyle w:val="NormalTok"/>
        </w:rPr>
        <w:t xml:space="preserve"> </w:t>
      </w:r>
      <w:r>
        <w:rPr>
          <w:rStyle w:val="StringTok"/>
        </w:rPr>
        <w:t xml:space="preserve">"expression:</w:t>
      </w:r>
      <w:r>
        <w:br/>
      </w:r>
      <w:r>
        <w:rPr>
          <w:rStyle w:val="StringTok"/>
        </w:rPr>
        <w:t xml:space="preserve">  logdens=log(0.5)-log_precision/2;</w:t>
      </w:r>
      <w:r>
        <w:br/>
      </w:r>
      <w:r>
        <w:rPr>
          <w:rStyle w:val="StringTok"/>
        </w:rPr>
        <w:t xml:space="preserve">  return(logdens);"</w:t>
      </w:r>
      <w:r>
        <w:br/>
      </w:r>
      <w:r>
        <w:rPr>
          <w:rStyle w:val="NormalTok"/>
        </w:rPr>
        <w:t xml:space="preserve">formula2 </w:t>
      </w:r>
      <w:r>
        <w:rPr>
          <w:rStyle w:val="OtherTok"/>
        </w:rPr>
        <w:t xml:space="preserve">&lt;-</w:t>
      </w:r>
      <w:r>
        <w:rPr>
          <w:rStyle w:val="NormalTok"/>
        </w:rPr>
        <w:t xml:space="preserve"> O </w:t>
      </w:r>
      <w:r>
        <w:rPr>
          <w:rStyle w:val="SpecialCharTok"/>
        </w:rPr>
        <w:t xml:space="preserve">~</w:t>
      </w:r>
      <w:r>
        <w:rPr>
          <w:rStyle w:val="NormalTok"/>
        </w:rPr>
        <w:t xml:space="preserve"> </w:t>
      </w:r>
      <w:r>
        <w:rPr>
          <w:rStyle w:val="FunctionTok"/>
        </w:rPr>
        <w:t xml:space="preserve">f</w:t>
      </w:r>
      <w:r>
        <w:rPr>
          <w:rStyle w:val="NormalTok"/>
        </w:rPr>
        <w:t xml:space="preserve">(</w:t>
      </w:r>
      <w:r>
        <w:br/>
      </w:r>
      <w:r>
        <w:rPr>
          <w:rStyle w:val="NormalTok"/>
        </w:rPr>
        <w:t xml:space="preserve">  region.struct,</w:t>
      </w:r>
      <w:r>
        <w:br/>
      </w:r>
      <w:r>
        <w:rPr>
          <w:rStyle w:val="NormalTok"/>
        </w:rPr>
        <w:t xml:space="preserve">  </w:t>
      </w:r>
      <w:r>
        <w:rPr>
          <w:rStyle w:val="AttributeTok"/>
        </w:rPr>
        <w:t xml:space="preserve">model =</w:t>
      </w:r>
      <w:r>
        <w:rPr>
          <w:rStyle w:val="NormalTok"/>
        </w:rPr>
        <w:t xml:space="preserve"> </w:t>
      </w:r>
      <w:r>
        <w:rPr>
          <w:rStyle w:val="StringTok"/>
        </w:rPr>
        <w:t xml:space="preserve">"bym"</w:t>
      </w:r>
      <w:r>
        <w:rPr>
          <w:rStyle w:val="NormalTok"/>
        </w:rPr>
        <w:t xml:space="preserve">,</w:t>
      </w:r>
      <w:r>
        <w:br/>
      </w:r>
      <w:r>
        <w:rPr>
          <w:rStyle w:val="NormalTok"/>
        </w:rPr>
        <w:t xml:space="preserve">  </w:t>
      </w:r>
      <w:r>
        <w:rPr>
          <w:rStyle w:val="AttributeTok"/>
        </w:rPr>
        <w:t xml:space="preserve">graph =</w:t>
      </w:r>
      <w:r>
        <w:rPr>
          <w:rStyle w:val="NormalTok"/>
        </w:rPr>
        <w:t xml:space="preserve"> </w:t>
      </w:r>
      <w:r>
        <w:rPr>
          <w:rStyle w:val="StringTok"/>
        </w:rPr>
        <w:t xml:space="preserve">"Santander_nb.inla"</w:t>
      </w:r>
      <w:r>
        <w:rPr>
          <w:rStyle w:val="NormalTok"/>
        </w:rPr>
        <w:t xml:space="preserve">,</w:t>
      </w:r>
      <w:r>
        <w:br/>
      </w:r>
      <w:r>
        <w:rPr>
          <w:rStyle w:val="NormalTok"/>
        </w:rPr>
        <w:t xml:space="preserve">  </w:t>
      </w:r>
      <w:r>
        <w:rPr>
          <w:rStyle w:val="AttributeTok"/>
        </w:rPr>
        <w:t xml:space="preserve">hyper =</w:t>
      </w:r>
      <w:r>
        <w:rPr>
          <w:rStyle w:val="NormalTok"/>
        </w:rPr>
        <w:t xml:space="preserve"> </w:t>
      </w:r>
      <w:r>
        <w:rPr>
          <w:rStyle w:val="FunctionTok"/>
        </w:rPr>
        <w:t xml:space="preserve">list</w:t>
      </w:r>
      <w:r>
        <w:rPr>
          <w:rStyle w:val="NormalTok"/>
        </w:rPr>
        <w:t xml:space="preserve">(</w:t>
      </w:r>
      <w:r>
        <w:rPr>
          <w:rStyle w:val="AttributeTok"/>
        </w:rPr>
        <w:t xml:space="preserve">prec.unstruct =</w:t>
      </w:r>
      <w:r>
        <w:rPr>
          <w:rStyle w:val="NormalTok"/>
        </w:rPr>
        <w:t xml:space="preserve"> </w:t>
      </w:r>
      <w:r>
        <w:rPr>
          <w:rStyle w:val="FunctionTok"/>
        </w:rPr>
        <w:t xml:space="preserve">list</w:t>
      </w:r>
      <w:r>
        <w:rPr>
          <w:rStyle w:val="NormalTok"/>
        </w:rPr>
        <w:t xml:space="preserve">(</w:t>
      </w:r>
      <w:r>
        <w:rPr>
          <w:rStyle w:val="AttributeTok"/>
        </w:rPr>
        <w:t xml:space="preserve">prior =</w:t>
      </w:r>
      <w:r>
        <w:rPr>
          <w:rStyle w:val="NormalTok"/>
        </w:rPr>
        <w:t xml:space="preserve"> sdunif), </w:t>
      </w:r>
      <w:r>
        <w:rPr>
          <w:rStyle w:val="AttributeTok"/>
        </w:rPr>
        <w:t xml:space="preserve">prec.spatial =</w:t>
      </w:r>
      <w:r>
        <w:rPr>
          <w:rStyle w:val="NormalTok"/>
        </w:rPr>
        <w:t xml:space="preserve"> </w:t>
      </w:r>
      <w:r>
        <w:rPr>
          <w:rStyle w:val="FunctionTok"/>
        </w:rPr>
        <w:t xml:space="preserve">list</w:t>
      </w:r>
      <w:r>
        <w:rPr>
          <w:rStyle w:val="NormalTok"/>
        </w:rPr>
        <w:t xml:space="preserve">(</w:t>
      </w:r>
      <w:r>
        <w:rPr>
          <w:rStyle w:val="AttributeTok"/>
        </w:rPr>
        <w:t xml:space="preserve">prior =</w:t>
      </w:r>
      <w:r>
        <w:rPr>
          <w:rStyle w:val="NormalTok"/>
        </w:rPr>
        <w:t xml:space="preserve"> sdunif))) </w:t>
      </w:r>
      <w:r>
        <w:rPr>
          <w:rStyle w:val="SpecialCharTok"/>
        </w:rPr>
        <w:t xml:space="preserve">+</w:t>
      </w:r>
      <w:r>
        <w:rPr>
          <w:rStyle w:val="NormalTok"/>
        </w:rPr>
        <w:t xml:space="preserve"> Privacion</w:t>
      </w:r>
      <w:r>
        <w:br/>
      </w:r>
      <w:r>
        <w:rPr>
          <w:rStyle w:val="NormalTok"/>
        </w:rPr>
        <w:t xml:space="preserve">resultado.p1 </w:t>
      </w:r>
      <w:r>
        <w:rPr>
          <w:rStyle w:val="OtherTok"/>
        </w:rPr>
        <w:t xml:space="preserve">&lt;-</w:t>
      </w:r>
      <w:r>
        <w:rPr>
          <w:rStyle w:val="NormalTok"/>
        </w:rPr>
        <w:t xml:space="preserve"> </w:t>
      </w:r>
      <w:r>
        <w:rPr>
          <w:rStyle w:val="FunctionTok"/>
        </w:rPr>
        <w:t xml:space="preserve">inla</w:t>
      </w:r>
      <w:r>
        <w:rPr>
          <w:rStyle w:val="NormalTok"/>
        </w:rPr>
        <w:t xml:space="preserve">(formula2, </w:t>
      </w:r>
      <w:r>
        <w:rPr>
          <w:rStyle w:val="AttributeTok"/>
        </w:rPr>
        <w:t xml:space="preserve">family=</w:t>
      </w:r>
      <w:r>
        <w:rPr>
          <w:rStyle w:val="StringTok"/>
        </w:rPr>
        <w:t xml:space="preserve">"poisson"</w:t>
      </w:r>
      <w:r>
        <w:rPr>
          <w:rStyle w:val="NormalTok"/>
        </w:rPr>
        <w:t xml:space="preserve">,</w:t>
      </w:r>
      <w:r>
        <w:rPr>
          <w:rStyle w:val="AttributeTok"/>
        </w:rPr>
        <w:t xml:space="preserve">data=</w:t>
      </w:r>
      <w:r>
        <w:rPr>
          <w:rStyle w:val="NormalTok"/>
        </w:rPr>
        <w:t xml:space="preserve">Datos, </w:t>
      </w:r>
      <w:r>
        <w:rPr>
          <w:rStyle w:val="AttributeTok"/>
        </w:rPr>
        <w:t xml:space="preserve">E=</w:t>
      </w:r>
      <w:r>
        <w:rPr>
          <w:rStyle w:val="NormalTok"/>
        </w:rPr>
        <w:t xml:space="preserve">E,</w:t>
      </w:r>
      <w:r>
        <w:br/>
      </w:r>
      <w:r>
        <w:rPr>
          <w:rStyle w:val="AttributeTok"/>
        </w:rPr>
        <w:t xml:space="preserve">control.compute=</w:t>
      </w:r>
      <w:r>
        <w:rPr>
          <w:rStyle w:val="FunctionTok"/>
        </w:rPr>
        <w:t xml:space="preserve">list</w:t>
      </w:r>
      <w:r>
        <w:rPr>
          <w:rStyle w:val="NormalTok"/>
        </w:rPr>
        <w:t xml:space="preserve">(</w:t>
      </w:r>
      <w:r>
        <w:rPr>
          <w:rStyle w:val="AttributeTok"/>
        </w:rPr>
        <w:t xml:space="preserve">dic=</w:t>
      </w:r>
      <w:r>
        <w:rPr>
          <w:rStyle w:val="NormalTok"/>
        </w:rPr>
        <w:t xml:space="preserve">T, </w:t>
      </w:r>
      <w:r>
        <w:rPr>
          <w:rStyle w:val="AttributeTok"/>
        </w:rPr>
        <w:t xml:space="preserve">cpo=</w:t>
      </w:r>
      <w:r>
        <w:rPr>
          <w:rStyle w:val="ConstantTok"/>
        </w:rPr>
        <w:t xml:space="preserve">TRUE</w:t>
      </w:r>
      <w:r>
        <w:rPr>
          <w:rStyle w:val="NormalTok"/>
        </w:rPr>
        <w:t xml:space="preserve">),</w:t>
      </w:r>
      <w:r>
        <w:br/>
      </w:r>
      <w:r>
        <w:rPr>
          <w:rStyle w:val="AttributeTok"/>
        </w:rPr>
        <w:t xml:space="preserve">control.predictor=</w:t>
      </w:r>
      <w:r>
        <w:rPr>
          <w:rStyle w:val="FunctionTok"/>
        </w:rPr>
        <w:t xml:space="preserve">list</w:t>
      </w:r>
      <w:r>
        <w:rPr>
          <w:rStyle w:val="NormalTok"/>
        </w:rPr>
        <w:t xml:space="preserve">(</w:t>
      </w:r>
      <w:r>
        <w:rPr>
          <w:rStyle w:val="AttributeTok"/>
        </w:rPr>
        <w:t xml:space="preserve">compute=</w:t>
      </w:r>
      <w:r>
        <w:rPr>
          <w:rStyle w:val="ConstantTok"/>
        </w:rPr>
        <w:t xml:space="preserve">TRUE</w:t>
      </w:r>
      <w:r>
        <w:rPr>
          <w:rStyle w:val="NormalTok"/>
        </w:rPr>
        <w:t xml:space="preserve">, </w:t>
      </w:r>
      <w:r>
        <w:rPr>
          <w:rStyle w:val="AttributeTok"/>
        </w:rPr>
        <w:t xml:space="preserve">cdf=</w:t>
      </w:r>
      <w:r>
        <w:rPr>
          <w:rStyle w:val="FunctionTok"/>
        </w:rPr>
        <w:t xml:space="preserve">c</w:t>
      </w:r>
      <w:r>
        <w:rPr>
          <w:rStyle w:val="NormalTok"/>
        </w:rPr>
        <w:t xml:space="preserve">(</w:t>
      </w:r>
      <w:r>
        <w:rPr>
          <w:rStyle w:val="FunctionTok"/>
        </w:rPr>
        <w:t xml:space="preserve">log</w:t>
      </w:r>
      <w:r>
        <w:rPr>
          <w:rStyle w:val="NormalTok"/>
        </w:rPr>
        <w:t xml:space="preserve">(</w:t>
      </w:r>
      <w:r>
        <w:rPr>
          <w:rStyle w:val="DecValTok"/>
        </w:rPr>
        <w:t xml:space="preserve">1</w:t>
      </w:r>
      <w:r>
        <w:rPr>
          <w:rStyle w:val="NormalTok"/>
        </w:rPr>
        <w:t xml:space="preserve">))),</w:t>
      </w:r>
      <w:r>
        <w:br/>
      </w:r>
      <w:r>
        <w:rPr>
          <w:rStyle w:val="AttributeTok"/>
        </w:rPr>
        <w:t xml:space="preserve">control.inla=</w:t>
      </w:r>
      <w:r>
        <w:rPr>
          <w:rStyle w:val="FunctionTok"/>
        </w:rPr>
        <w:t xml:space="preserve">list</w:t>
      </w:r>
      <w:r>
        <w:rPr>
          <w:rStyle w:val="NormalTok"/>
        </w:rPr>
        <w:t xml:space="preserve">(</w:t>
      </w:r>
      <w:r>
        <w:rPr>
          <w:rStyle w:val="AttributeTok"/>
        </w:rPr>
        <w:t xml:space="preserve">strategy=</w:t>
      </w:r>
      <w:r>
        <w:rPr>
          <w:rStyle w:val="StringTok"/>
        </w:rPr>
        <w:t xml:space="preserve">"laplace"</w:t>
      </w:r>
      <w:r>
        <w:rPr>
          <w:rStyle w:val="NormalTok"/>
        </w:rPr>
        <w:t xml:space="preserve">, </w:t>
      </w:r>
      <w:r>
        <w:rPr>
          <w:rStyle w:val="AttributeTok"/>
        </w:rPr>
        <w:t xml:space="preserve">int.strategy=</w:t>
      </w:r>
      <w:r>
        <w:rPr>
          <w:rStyle w:val="StringTok"/>
        </w:rPr>
        <w:t xml:space="preserve">"grid"</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c("inla(formula = formula2, family = \"poisson\", data = Datos, E = E, </w:t>
      </w:r>
      <w:r>
        <w:br/>
      </w:r>
      <w:r>
        <w:rPr>
          <w:rStyle w:val="VerbatimChar"/>
        </w:rPr>
        <w:t xml:space="preserve">##    ", " control.compute = list(dic = T, cpo = TRUE), control.predictor = </w:t>
      </w:r>
      <w:r>
        <w:br/>
      </w:r>
      <w:r>
        <w:rPr>
          <w:rStyle w:val="VerbatimChar"/>
        </w:rPr>
        <w:t xml:space="preserve">##    list(compute = TRUE, ", " cdf = c(log(1))), control.inla = </w:t>
      </w:r>
      <w:r>
        <w:br/>
      </w:r>
      <w:r>
        <w:rPr>
          <w:rStyle w:val="VerbatimChar"/>
        </w:rPr>
        <w:t xml:space="preserve">##    list(strategy = \"laplace\", ", " int.strategy = \"grid\"))") </w:t>
      </w:r>
      <w:r>
        <w:br/>
      </w:r>
      <w:r>
        <w:rPr>
          <w:rStyle w:val="VerbatimChar"/>
        </w:rPr>
        <w:t xml:space="preserve">## Time used:</w:t>
      </w:r>
      <w:r>
        <w:br/>
      </w:r>
      <w:r>
        <w:rPr>
          <w:rStyle w:val="VerbatimChar"/>
        </w:rPr>
        <w:t xml:space="preserve">##     Pre = 0.336, Running = 3.31, Post = 0.128, Total = 3.77 </w:t>
      </w:r>
      <w:r>
        <w:br/>
      </w:r>
      <w:r>
        <w:rPr>
          <w:rStyle w:val="VerbatimChar"/>
        </w:rPr>
        <w:t xml:space="preserve">## Fixed effects:</w:t>
      </w:r>
      <w:r>
        <w:br/>
      </w:r>
      <w:r>
        <w:rPr>
          <w:rStyle w:val="VerbatimChar"/>
        </w:rPr>
        <w:t xml:space="preserve">##               mean    sd 0.025quant 0.5quant 0.975quant   mode kld</w:t>
      </w:r>
      <w:r>
        <w:br/>
      </w:r>
      <w:r>
        <w:rPr>
          <w:rStyle w:val="VerbatimChar"/>
        </w:rPr>
        <w:t xml:space="preserve">## (Intercept) -0.016 0.014     -0.045   -0.016      0.012 -0.016   0</w:t>
      </w:r>
      <w:r>
        <w:br/>
      </w:r>
      <w:r>
        <w:rPr>
          <w:rStyle w:val="VerbatimChar"/>
        </w:rPr>
        <w:t xml:space="preserve">## Privacion    0.086 0.012      0.062    0.086      0.111  0.086   0</w:t>
      </w:r>
      <w:r>
        <w:br/>
      </w:r>
      <w:r>
        <w:rPr>
          <w:rStyle w:val="VerbatimChar"/>
        </w:rPr>
        <w:t xml:space="preserve">## </w:t>
      </w:r>
      <w:r>
        <w:br/>
      </w:r>
      <w:r>
        <w:rPr>
          <w:rStyle w:val="VerbatimChar"/>
        </w:rPr>
        <w:t xml:space="preserve">## Random effects:</w:t>
      </w:r>
      <w:r>
        <w:br/>
      </w:r>
      <w:r>
        <w:rPr>
          <w:rStyle w:val="VerbatimChar"/>
        </w:rPr>
        <w:t xml:space="preserve">##   Name     Model</w:t>
      </w:r>
      <w:r>
        <w:br/>
      </w:r>
      <w:r>
        <w:rPr>
          <w:rStyle w:val="VerbatimChar"/>
        </w:rPr>
        <w:t xml:space="preserve">##     region.struct BYM model</w:t>
      </w:r>
      <w:r>
        <w:br/>
      </w:r>
      <w:r>
        <w:rPr>
          <w:rStyle w:val="VerbatimChar"/>
        </w:rPr>
        <w:t xml:space="preserve">## </w:t>
      </w:r>
      <w:r>
        <w:br/>
      </w:r>
      <w:r>
        <w:rPr>
          <w:rStyle w:val="VerbatimChar"/>
        </w:rPr>
        <w:t xml:space="preserve">## Model hyperparameters:</w:t>
      </w:r>
      <w:r>
        <w:br/>
      </w:r>
      <w:r>
        <w:rPr>
          <w:rStyle w:val="VerbatimChar"/>
        </w:rPr>
        <w:t xml:space="preserve">##                                                   mean     sd 0.025quant</w:t>
      </w:r>
      <w:r>
        <w:br/>
      </w:r>
      <w:r>
        <w:rPr>
          <w:rStyle w:val="VerbatimChar"/>
        </w:rPr>
        <w:t xml:space="preserve">## Precision for region.struct (iid component)      55.86  12.17      32.61</w:t>
      </w:r>
      <w:r>
        <w:br/>
      </w:r>
      <w:r>
        <w:rPr>
          <w:rStyle w:val="VerbatimChar"/>
        </w:rPr>
        <w:t xml:space="preserve">## Precision for region.struct (spatial component) 249.54 401.95      37.15</w:t>
      </w:r>
      <w:r>
        <w:br/>
      </w:r>
      <w:r>
        <w:rPr>
          <w:rStyle w:val="VerbatimChar"/>
        </w:rPr>
        <w:t xml:space="preserve">##                                                 0.5quant 0.975quant  mode</w:t>
      </w:r>
      <w:r>
        <w:br/>
      </w:r>
      <w:r>
        <w:rPr>
          <w:rStyle w:val="VerbatimChar"/>
        </w:rPr>
        <w:t xml:space="preserve">## Precision for region.struct (iid component)        55.96      79.64 56.87</w:t>
      </w:r>
      <w:r>
        <w:br/>
      </w:r>
      <w:r>
        <w:rPr>
          <w:rStyle w:val="VerbatimChar"/>
        </w:rPr>
        <w:t xml:space="preserve">## Precision for region.struct (spatial component)   136.26    1169.90 66.64</w:t>
      </w:r>
      <w:r>
        <w:br/>
      </w:r>
      <w:r>
        <w:rPr>
          <w:rStyle w:val="VerbatimChar"/>
        </w:rPr>
        <w:t xml:space="preserve">## </w:t>
      </w:r>
      <w:r>
        <w:br/>
      </w:r>
      <w:r>
        <w:rPr>
          <w:rStyle w:val="VerbatimChar"/>
        </w:rPr>
        <w:t xml:space="preserve">## Expected number of effective parameters(stdev): 82.59(5.12)</w:t>
      </w:r>
      <w:r>
        <w:br/>
      </w:r>
      <w:r>
        <w:rPr>
          <w:rStyle w:val="VerbatimChar"/>
        </w:rPr>
        <w:t xml:space="preserve">## Number of equivalent replicates : 1.50 </w:t>
      </w:r>
      <w:r>
        <w:br/>
      </w:r>
      <w:r>
        <w:rPr>
          <w:rStyle w:val="VerbatimChar"/>
        </w:rPr>
        <w:t xml:space="preserve">## </w:t>
      </w:r>
      <w:r>
        <w:br/>
      </w:r>
      <w:r>
        <w:rPr>
          <w:rStyle w:val="VerbatimChar"/>
        </w:rPr>
        <w:t xml:space="preserve">## Deviance Information Criterion (DIC) ...............: 1010.48</w:t>
      </w:r>
      <w:r>
        <w:br/>
      </w:r>
      <w:r>
        <w:rPr>
          <w:rStyle w:val="VerbatimChar"/>
        </w:rPr>
        <w:t xml:space="preserve">## Deviance Information Criterion (DIC, saturated) ....: 206.57</w:t>
      </w:r>
      <w:r>
        <w:br/>
      </w:r>
      <w:r>
        <w:rPr>
          <w:rStyle w:val="VerbatimChar"/>
        </w:rPr>
        <w:t xml:space="preserve">## Effective number of parameters .....................: 83.16</w:t>
      </w:r>
      <w:r>
        <w:br/>
      </w:r>
      <w:r>
        <w:rPr>
          <w:rStyle w:val="VerbatimChar"/>
        </w:rPr>
        <w:t xml:space="preserve">## </w:t>
      </w:r>
      <w:r>
        <w:br/>
      </w:r>
      <w:r>
        <w:rPr>
          <w:rStyle w:val="VerbatimChar"/>
        </w:rPr>
        <w:t xml:space="preserve">## Marginal log-Likelihood:  -527.47 </w:t>
      </w:r>
      <w:r>
        <w:br/>
      </w:r>
      <w:r>
        <w:rPr>
          <w:rStyle w:val="VerbatimChar"/>
        </w:rPr>
        <w:t xml:space="preserve">## CPO and PIT are computed</w:t>
      </w:r>
      <w:r>
        <w:br/>
      </w:r>
      <w:r>
        <w:rPr>
          <w:rStyle w:val="VerbatimChar"/>
        </w:rPr>
        <w:t xml:space="preserve">## </w:t>
      </w:r>
      <w:r>
        <w:br/>
      </w:r>
      <w:r>
        <w:rPr>
          <w:rStyle w:val="VerbatimChar"/>
        </w:rPr>
        <w:t xml:space="preserve">## Posterior marginals for the linear predictor and</w:t>
      </w:r>
      <w:r>
        <w:br/>
      </w:r>
      <w:r>
        <w:rPr>
          <w:rStyle w:val="VerbatimChar"/>
        </w:rPr>
        <w:t xml:space="preserve">##  the fitted values are computed</w:t>
      </w:r>
    </w:p>
    <w:p>
      <w:pPr>
        <w:pStyle w:val="FirstParagraph"/>
      </w:pPr>
      <w:r>
        <w:t xml:space="preserve">Representamos gráficamente la función de densidad de la distribución a posteriori del Riesgo Relativo (RR) (Figura nº 29).</w:t>
      </w:r>
    </w:p>
    <w:p>
      <w:pPr>
        <w:pStyle w:val="SourceCode"/>
      </w:pPr>
      <w:r>
        <w:rPr>
          <w:rStyle w:val="VerbatimChar"/>
        </w:rPr>
        <w:t xml:space="preserve">##   Length Class  Mode   </w:t>
      </w:r>
      <w:r>
        <w:br/>
      </w:r>
      <w:r>
        <w:rPr>
          <w:rStyle w:val="VerbatimChar"/>
        </w:rPr>
        <w:t xml:space="preserve">## x 1095   -none- numeric</w:t>
      </w:r>
      <w:r>
        <w:br/>
      </w:r>
      <w:r>
        <w:rPr>
          <w:rStyle w:val="VerbatimChar"/>
        </w:rPr>
        <w:t xml:space="preserve">## y 1095   -none- numeric</w:t>
      </w:r>
    </w:p>
    <w:p>
      <w:pPr>
        <w:pStyle w:val="FirstParagraph"/>
      </w:pPr>
      <w:r>
        <w:drawing>
          <wp:inline>
            <wp:extent cx="4620126" cy="3696101"/>
            <wp:effectExtent b="0" l="0" r="0" t="0"/>
            <wp:docPr descr="" title="" id="1" name="Picture"/>
            <a:graphic>
              <a:graphicData uri="http://schemas.openxmlformats.org/drawingml/2006/picture">
                <pic:pic>
                  <pic:nvPicPr>
                    <pic:cNvPr descr="articulo_proyecto_medea_RMS_final_4_files/figure-docx/unnamed-chunk-55-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la tabla nº2, recogemos los resultados obtenidos.</w:t>
      </w:r>
    </w:p>
    <w:p>
      <w:pPr>
        <w:pStyle w:val="SourceCode"/>
      </w:pPr>
      <w:r>
        <w:rPr>
          <w:rStyle w:val="VerbatimChar"/>
        </w:rPr>
        <w:t xml:space="preserve">##             Periodo Causa     Indice  Genero    media perc.2.5. perc.97.5.</w:t>
      </w:r>
      <w:r>
        <w:br/>
      </w:r>
      <w:r>
        <w:rPr>
          <w:rStyle w:val="VerbatimChar"/>
        </w:rPr>
        <w:t xml:space="preserve">## 1 Periodo 1997-2015    22 ICANE_2011 Hombres 1.089929  1.063948   1.116878</w:t>
      </w:r>
      <w:r>
        <w:br/>
      </w:r>
      <w:r>
        <w:rPr>
          <w:rStyle w:val="VerbatimChar"/>
        </w:rPr>
        <w:t xml:space="preserve">##        DIC</w:t>
      </w:r>
      <w:r>
        <w:br/>
      </w:r>
      <w:r>
        <w:rPr>
          <w:rStyle w:val="VerbatimChar"/>
        </w:rPr>
        <w:t xml:space="preserve">## 1 1010.481</w:t>
      </w:r>
    </w:p>
    <w:p>
      <w:pPr>
        <w:pStyle w:val="TableCaption"/>
      </w:pPr>
      <w:r>
        <w:t xml:space="preserve">Tabla nº2.Tabla Resultados Hombres.Indicador Multidimensional</w:t>
      </w:r>
    </w:p>
    <w:tbl>
      <w:tblPr>
        <w:tblStyle w:val="Table"/>
        <w:tblW w:type="pct" w:w="0.0"/>
        <w:tblLook w:firstRow="1" w:lastRow="0" w:firstColumn="0" w:lastColumn="0" w:noHBand="0" w:noVBand="0" w:val="0020"/>
        <w:tblCaption w:val="Tabla nº2.Tabla Resultados Hombres.Indicador Multidimensional"/>
      </w:tblPr>
      <w:tblGrid/>
      <w:tr>
        <w:tc>
          <w:p>
            <w:pPr>
              <w:pStyle w:val="Compact"/>
              <w:jc w:val="left"/>
            </w:pPr>
            <w:r>
              <w:t xml:space="preserve">Periodo</w:t>
            </w:r>
          </w:p>
        </w:tc>
        <w:tc>
          <w:p>
            <w:pPr>
              <w:pStyle w:val="Compact"/>
              <w:jc w:val="right"/>
            </w:pPr>
            <w:r>
              <w:t xml:space="preserve">Causa</w:t>
            </w:r>
          </w:p>
        </w:tc>
        <w:tc>
          <w:p>
            <w:pPr>
              <w:pStyle w:val="Compact"/>
              <w:jc w:val="left"/>
            </w:pPr>
            <w:r>
              <w:t xml:space="preserve">Indice</w:t>
            </w:r>
          </w:p>
        </w:tc>
        <w:tc>
          <w:p>
            <w:pPr>
              <w:pStyle w:val="Compact"/>
              <w:jc w:val="left"/>
            </w:pPr>
            <w:r>
              <w:t xml:space="preserve">Genero</w:t>
            </w:r>
          </w:p>
        </w:tc>
        <w:tc>
          <w:p>
            <w:pPr>
              <w:pStyle w:val="Compact"/>
              <w:jc w:val="right"/>
            </w:pPr>
            <w:r>
              <w:t xml:space="preserve">media</w:t>
            </w:r>
          </w:p>
        </w:tc>
        <w:tc>
          <w:p>
            <w:pPr>
              <w:pStyle w:val="Compact"/>
              <w:jc w:val="right"/>
            </w:pPr>
            <w:r>
              <w:t xml:space="preserve">perc.2.5.</w:t>
            </w:r>
          </w:p>
        </w:tc>
        <w:tc>
          <w:p>
            <w:pPr>
              <w:pStyle w:val="Compact"/>
              <w:jc w:val="right"/>
            </w:pPr>
            <w:r>
              <w:t xml:space="preserve">perc.97.5.</w:t>
            </w:r>
          </w:p>
        </w:tc>
        <w:tc>
          <w:p>
            <w:pPr>
              <w:pStyle w:val="Compact"/>
              <w:jc w:val="right"/>
            </w:pPr>
            <w:r>
              <w:t xml:space="preserve">DIC</w:t>
            </w:r>
          </w:p>
        </w:tc>
      </w:tr>
      <w:tr>
        <w:tc>
          <w:p>
            <w:pPr>
              <w:pStyle w:val="Compact"/>
              <w:jc w:val="left"/>
            </w:pPr>
            <w:r>
              <w:t xml:space="preserve">Periodo 1997-2015</w:t>
            </w:r>
          </w:p>
        </w:tc>
        <w:tc>
          <w:p>
            <w:pPr>
              <w:pStyle w:val="Compact"/>
              <w:jc w:val="right"/>
            </w:pPr>
            <w:r>
              <w:t xml:space="preserve">22</w:t>
            </w:r>
          </w:p>
        </w:tc>
        <w:tc>
          <w:p>
            <w:pPr>
              <w:pStyle w:val="Compact"/>
              <w:jc w:val="left"/>
            </w:pPr>
            <w:r>
              <w:t xml:space="preserve">ICANE_2011</w:t>
            </w:r>
          </w:p>
        </w:tc>
        <w:tc>
          <w:p>
            <w:pPr>
              <w:pStyle w:val="Compact"/>
              <w:jc w:val="left"/>
            </w:pPr>
            <w:r>
              <w:t xml:space="preserve">Hombres</w:t>
            </w:r>
          </w:p>
        </w:tc>
        <w:tc>
          <w:p>
            <w:pPr>
              <w:pStyle w:val="Compact"/>
              <w:jc w:val="right"/>
            </w:pPr>
            <w:r>
              <w:t xml:space="preserve">1.09</w:t>
            </w:r>
          </w:p>
        </w:tc>
        <w:tc>
          <w:p>
            <w:pPr>
              <w:pStyle w:val="Compact"/>
              <w:jc w:val="right"/>
            </w:pPr>
            <w:r>
              <w:t xml:space="preserve">1.06</w:t>
            </w:r>
          </w:p>
        </w:tc>
        <w:tc>
          <w:p>
            <w:pPr>
              <w:pStyle w:val="Compact"/>
              <w:jc w:val="right"/>
            </w:pPr>
            <w:r>
              <w:t xml:space="preserve">1.12</w:t>
            </w:r>
          </w:p>
        </w:tc>
        <w:tc>
          <w:p>
            <w:pPr>
              <w:pStyle w:val="Compact"/>
              <w:jc w:val="right"/>
            </w:pPr>
            <w:r>
              <w:t xml:space="preserve">1010.48</w:t>
            </w:r>
          </w:p>
        </w:tc>
      </w:tr>
      <w:tr>
        <w:tc>
          <w:p>
            <w:pPr>
              <w:pStyle w:val="Compact"/>
              <w:jc w:val="left"/>
            </w:pPr>
            <w:r>
              <w:t xml:space="preserve">Periodo 1997-2015</w:t>
            </w:r>
          </w:p>
        </w:tc>
        <w:tc>
          <w:p>
            <w:pPr>
              <w:pStyle w:val="Compact"/>
              <w:jc w:val="right"/>
            </w:pPr>
            <w:r>
              <w:t xml:space="preserve">1</w:t>
            </w:r>
          </w:p>
        </w:tc>
        <w:tc>
          <w:p>
            <w:pPr>
              <w:pStyle w:val="Compact"/>
              <w:jc w:val="left"/>
            </w:pPr>
            <w:r>
              <w:t xml:space="preserve">Multidimensional_2011</w:t>
            </w:r>
          </w:p>
        </w:tc>
        <w:tc>
          <w:p>
            <w:pPr>
              <w:pStyle w:val="Compact"/>
              <w:jc w:val="left"/>
            </w:pPr>
            <w:r>
              <w:t xml:space="preserve">Hombres</w:t>
            </w:r>
          </w:p>
        </w:tc>
        <w:tc>
          <w:p>
            <w:pPr>
              <w:pStyle w:val="Compact"/>
              <w:jc w:val="right"/>
            </w:pPr>
            <w:r>
              <w:t xml:space="preserve">1.21</w:t>
            </w:r>
          </w:p>
        </w:tc>
        <w:tc>
          <w:p>
            <w:pPr>
              <w:pStyle w:val="Compact"/>
              <w:jc w:val="right"/>
            </w:pPr>
            <w:r>
              <w:t xml:space="preserve">1.02</w:t>
            </w:r>
          </w:p>
        </w:tc>
        <w:tc>
          <w:p>
            <w:pPr>
              <w:pStyle w:val="Compact"/>
              <w:jc w:val="right"/>
            </w:pPr>
            <w:r>
              <w:t xml:space="preserve">1.43</w:t>
            </w:r>
          </w:p>
        </w:tc>
        <w:tc>
          <w:p>
            <w:pPr>
              <w:pStyle w:val="Compact"/>
              <w:jc w:val="right"/>
            </w:pPr>
            <w:r>
              <w:t xml:space="preserve">278.49</w:t>
            </w:r>
          </w:p>
        </w:tc>
      </w:tr>
      <w:tr>
        <w:tc>
          <w:p>
            <w:pPr>
              <w:pStyle w:val="Compact"/>
              <w:jc w:val="left"/>
            </w:pPr>
            <w:r>
              <w:t xml:space="preserve">Periodo 1997-2015</w:t>
            </w:r>
          </w:p>
        </w:tc>
        <w:tc>
          <w:p>
            <w:pPr>
              <w:pStyle w:val="Compact"/>
              <w:jc w:val="right"/>
            </w:pPr>
            <w:r>
              <w:t xml:space="preserve">2</w:t>
            </w:r>
          </w:p>
        </w:tc>
        <w:tc>
          <w:p>
            <w:pPr>
              <w:pStyle w:val="Compact"/>
              <w:jc w:val="left"/>
            </w:pPr>
            <w:r>
              <w:t xml:space="preserve">Multidimensional_2011</w:t>
            </w:r>
          </w:p>
        </w:tc>
        <w:tc>
          <w:p>
            <w:pPr>
              <w:pStyle w:val="Compact"/>
              <w:jc w:val="left"/>
            </w:pPr>
            <w:r>
              <w:t xml:space="preserve">Hombres</w:t>
            </w:r>
          </w:p>
        </w:tc>
        <w:tc>
          <w:p>
            <w:pPr>
              <w:pStyle w:val="Compact"/>
              <w:jc w:val="right"/>
            </w:pPr>
            <w:r>
              <w:t xml:space="preserve">1.08</w:t>
            </w:r>
          </w:p>
        </w:tc>
        <w:tc>
          <w:p>
            <w:pPr>
              <w:pStyle w:val="Compact"/>
              <w:jc w:val="right"/>
            </w:pPr>
            <w:r>
              <w:t xml:space="preserve">0.98</w:t>
            </w:r>
          </w:p>
        </w:tc>
        <w:tc>
          <w:p>
            <w:pPr>
              <w:pStyle w:val="Compact"/>
              <w:jc w:val="right"/>
            </w:pPr>
            <w:r>
              <w:t xml:space="preserve">1.19</w:t>
            </w:r>
          </w:p>
        </w:tc>
        <w:tc>
          <w:p>
            <w:pPr>
              <w:pStyle w:val="Compact"/>
              <w:jc w:val="right"/>
            </w:pPr>
            <w:r>
              <w:t xml:space="preserve">426.80</w:t>
            </w:r>
          </w:p>
        </w:tc>
      </w:tr>
      <w:tr>
        <w:tc>
          <w:p>
            <w:pPr>
              <w:pStyle w:val="Compact"/>
              <w:jc w:val="left"/>
            </w:pPr>
            <w:r>
              <w:t xml:space="preserve">Periodo 1997-2015</w:t>
            </w:r>
          </w:p>
        </w:tc>
        <w:tc>
          <w:p>
            <w:pPr>
              <w:pStyle w:val="Compact"/>
              <w:jc w:val="right"/>
            </w:pPr>
            <w:r>
              <w:t xml:space="preserve">5</w:t>
            </w:r>
          </w:p>
        </w:tc>
        <w:tc>
          <w:p>
            <w:pPr>
              <w:pStyle w:val="Compact"/>
              <w:jc w:val="left"/>
            </w:pPr>
            <w:r>
              <w:t xml:space="preserve">Multidimensional_2011</w:t>
            </w:r>
          </w:p>
        </w:tc>
        <w:tc>
          <w:p>
            <w:pPr>
              <w:pStyle w:val="Compact"/>
              <w:jc w:val="left"/>
            </w:pPr>
            <w:r>
              <w:t xml:space="preserve">Hombres</w:t>
            </w:r>
          </w:p>
        </w:tc>
        <w:tc>
          <w:p>
            <w:pPr>
              <w:pStyle w:val="Compact"/>
              <w:jc w:val="right"/>
            </w:pPr>
            <w:r>
              <w:t xml:space="preserve">1.13</w:t>
            </w:r>
          </w:p>
        </w:tc>
        <w:tc>
          <w:p>
            <w:pPr>
              <w:pStyle w:val="Compact"/>
              <w:jc w:val="right"/>
            </w:pPr>
            <w:r>
              <w:t xml:space="preserve">1.06</w:t>
            </w:r>
          </w:p>
        </w:tc>
        <w:tc>
          <w:p>
            <w:pPr>
              <w:pStyle w:val="Compact"/>
              <w:jc w:val="right"/>
            </w:pPr>
            <w:r>
              <w:t xml:space="preserve">1.20</w:t>
            </w:r>
          </w:p>
        </w:tc>
        <w:tc>
          <w:p>
            <w:pPr>
              <w:pStyle w:val="Compact"/>
              <w:jc w:val="right"/>
            </w:pPr>
            <w:r>
              <w:t xml:space="preserve">565.17</w:t>
            </w:r>
          </w:p>
        </w:tc>
      </w:tr>
      <w:tr>
        <w:tc>
          <w:p>
            <w:pPr>
              <w:pStyle w:val="Compact"/>
              <w:jc w:val="left"/>
            </w:pPr>
            <w:r>
              <w:t xml:space="preserve">Periodo 1997-2015</w:t>
            </w:r>
          </w:p>
        </w:tc>
        <w:tc>
          <w:p>
            <w:pPr>
              <w:pStyle w:val="Compact"/>
              <w:jc w:val="right"/>
            </w:pPr>
            <w:r>
              <w:t xml:space="preserve">7</w:t>
            </w:r>
          </w:p>
        </w:tc>
        <w:tc>
          <w:p>
            <w:pPr>
              <w:pStyle w:val="Compact"/>
              <w:jc w:val="left"/>
            </w:pPr>
            <w:r>
              <w:t xml:space="preserve">Multidimensional_2011</w:t>
            </w:r>
          </w:p>
        </w:tc>
        <w:tc>
          <w:p>
            <w:pPr>
              <w:pStyle w:val="Compact"/>
              <w:jc w:val="left"/>
            </w:pPr>
            <w:r>
              <w:t xml:space="preserve">Hombres</w:t>
            </w:r>
          </w:p>
        </w:tc>
        <w:tc>
          <w:p>
            <w:pPr>
              <w:pStyle w:val="Compact"/>
              <w:jc w:val="right"/>
            </w:pPr>
            <w:r>
              <w:t xml:space="preserve">1.12</w:t>
            </w:r>
          </w:p>
        </w:tc>
        <w:tc>
          <w:p>
            <w:pPr>
              <w:pStyle w:val="Compact"/>
              <w:jc w:val="right"/>
            </w:pPr>
            <w:r>
              <w:t xml:space="preserve">1.07</w:t>
            </w:r>
          </w:p>
        </w:tc>
        <w:tc>
          <w:p>
            <w:pPr>
              <w:pStyle w:val="Compact"/>
              <w:jc w:val="right"/>
            </w:pPr>
            <w:r>
              <w:t xml:space="preserve">1.17</w:t>
            </w:r>
          </w:p>
        </w:tc>
        <w:tc>
          <w:p>
            <w:pPr>
              <w:pStyle w:val="Compact"/>
              <w:jc w:val="right"/>
            </w:pPr>
            <w:r>
              <w:t xml:space="preserve">647.63</w:t>
            </w:r>
          </w:p>
        </w:tc>
      </w:tr>
      <w:tr>
        <w:tc>
          <w:p>
            <w:pPr>
              <w:pStyle w:val="Compact"/>
              <w:jc w:val="left"/>
            </w:pPr>
            <w:r>
              <w:t xml:space="preserve">Periodo 1997-2015</w:t>
            </w:r>
          </w:p>
        </w:tc>
        <w:tc>
          <w:p>
            <w:pPr>
              <w:pStyle w:val="Compact"/>
              <w:jc w:val="right"/>
            </w:pPr>
            <w:r>
              <w:t xml:space="preserve">9</w:t>
            </w:r>
          </w:p>
        </w:tc>
        <w:tc>
          <w:p>
            <w:pPr>
              <w:pStyle w:val="Compact"/>
              <w:jc w:val="left"/>
            </w:pPr>
            <w:r>
              <w:t xml:space="preserve">Multidimensional_2011</w:t>
            </w:r>
          </w:p>
        </w:tc>
        <w:tc>
          <w:p>
            <w:pPr>
              <w:pStyle w:val="Compact"/>
              <w:jc w:val="left"/>
            </w:pPr>
            <w:r>
              <w:t xml:space="preserve">Hombres</w:t>
            </w:r>
          </w:p>
        </w:tc>
        <w:tc>
          <w:p>
            <w:pPr>
              <w:pStyle w:val="Compact"/>
              <w:jc w:val="right"/>
            </w:pPr>
            <w:r>
              <w:t xml:space="preserve">0.99</w:t>
            </w:r>
          </w:p>
        </w:tc>
        <w:tc>
          <w:p>
            <w:pPr>
              <w:pStyle w:val="Compact"/>
              <w:jc w:val="right"/>
            </w:pPr>
            <w:r>
              <w:t xml:space="preserve">0.92</w:t>
            </w:r>
          </w:p>
        </w:tc>
        <w:tc>
          <w:p>
            <w:pPr>
              <w:pStyle w:val="Compact"/>
              <w:jc w:val="right"/>
            </w:pPr>
            <w:r>
              <w:t xml:space="preserve">1.08</w:t>
            </w:r>
          </w:p>
        </w:tc>
        <w:tc>
          <w:p>
            <w:pPr>
              <w:pStyle w:val="Compact"/>
              <w:jc w:val="right"/>
            </w:pPr>
            <w:r>
              <w:t xml:space="preserve">476.50</w:t>
            </w:r>
          </w:p>
        </w:tc>
      </w:tr>
      <w:tr>
        <w:tc>
          <w:p>
            <w:pPr>
              <w:pStyle w:val="Compact"/>
              <w:jc w:val="left"/>
            </w:pPr>
            <w:r>
              <w:t xml:space="preserve">Periodo 1997-2015</w:t>
            </w:r>
          </w:p>
        </w:tc>
        <w:tc>
          <w:p>
            <w:pPr>
              <w:pStyle w:val="Compact"/>
              <w:jc w:val="right"/>
            </w:pPr>
            <w:r>
              <w:t xml:space="preserve">10</w:t>
            </w:r>
          </w:p>
        </w:tc>
        <w:tc>
          <w:p>
            <w:pPr>
              <w:pStyle w:val="Compact"/>
              <w:jc w:val="left"/>
            </w:pPr>
            <w:r>
              <w:t xml:space="preserve">Multidimensional_2011</w:t>
            </w:r>
          </w:p>
        </w:tc>
        <w:tc>
          <w:p>
            <w:pPr>
              <w:pStyle w:val="Compact"/>
              <w:jc w:val="left"/>
            </w:pPr>
            <w:r>
              <w:t xml:space="preserve">Hombres</w:t>
            </w:r>
          </w:p>
        </w:tc>
        <w:tc>
          <w:p>
            <w:pPr>
              <w:pStyle w:val="Compact"/>
              <w:jc w:val="right"/>
            </w:pPr>
            <w:r>
              <w:t xml:space="preserve">1.08</w:t>
            </w:r>
          </w:p>
        </w:tc>
        <w:tc>
          <w:p>
            <w:pPr>
              <w:pStyle w:val="Compact"/>
              <w:jc w:val="right"/>
            </w:pPr>
            <w:r>
              <w:t xml:space="preserve">0.99</w:t>
            </w:r>
          </w:p>
        </w:tc>
        <w:tc>
          <w:p>
            <w:pPr>
              <w:pStyle w:val="Compact"/>
              <w:jc w:val="right"/>
            </w:pPr>
            <w:r>
              <w:t xml:space="preserve">1.17</w:t>
            </w:r>
          </w:p>
        </w:tc>
        <w:tc>
          <w:p>
            <w:pPr>
              <w:pStyle w:val="Compact"/>
              <w:jc w:val="right"/>
            </w:pPr>
            <w:r>
              <w:t xml:space="preserve">451.88</w:t>
            </w:r>
          </w:p>
        </w:tc>
      </w:tr>
      <w:tr>
        <w:tc>
          <w:p>
            <w:pPr>
              <w:pStyle w:val="Compact"/>
              <w:jc w:val="left"/>
            </w:pPr>
            <w:r>
              <w:t xml:space="preserve">Periodo 1997-2015</w:t>
            </w:r>
          </w:p>
        </w:tc>
        <w:tc>
          <w:p>
            <w:pPr>
              <w:pStyle w:val="Compact"/>
              <w:jc w:val="right"/>
            </w:pPr>
            <w:r>
              <w:t xml:space="preserve">11</w:t>
            </w:r>
          </w:p>
        </w:tc>
        <w:tc>
          <w:p>
            <w:pPr>
              <w:pStyle w:val="Compact"/>
              <w:jc w:val="left"/>
            </w:pPr>
            <w:r>
              <w:t xml:space="preserve">Multidimensional_2011</w:t>
            </w:r>
          </w:p>
        </w:tc>
        <w:tc>
          <w:p>
            <w:pPr>
              <w:pStyle w:val="Compact"/>
              <w:jc w:val="left"/>
            </w:pPr>
            <w:r>
              <w:t xml:space="preserve">Hombres</w:t>
            </w:r>
          </w:p>
        </w:tc>
        <w:tc>
          <w:p>
            <w:pPr>
              <w:pStyle w:val="Compact"/>
              <w:jc w:val="right"/>
            </w:pPr>
            <w:r>
              <w:t xml:space="preserve">1.09</w:t>
            </w:r>
          </w:p>
        </w:tc>
        <w:tc>
          <w:p>
            <w:pPr>
              <w:pStyle w:val="Compact"/>
              <w:jc w:val="right"/>
            </w:pPr>
            <w:r>
              <w:t xml:space="preserve">0.99</w:t>
            </w:r>
          </w:p>
        </w:tc>
        <w:tc>
          <w:p>
            <w:pPr>
              <w:pStyle w:val="Compact"/>
              <w:jc w:val="right"/>
            </w:pPr>
            <w:r>
              <w:t xml:space="preserve">1.20</w:t>
            </w:r>
          </w:p>
        </w:tc>
        <w:tc>
          <w:p>
            <w:pPr>
              <w:pStyle w:val="Compact"/>
              <w:jc w:val="right"/>
            </w:pPr>
            <w:r>
              <w:t xml:space="preserve">446.73</w:t>
            </w:r>
          </w:p>
        </w:tc>
      </w:tr>
      <w:tr>
        <w:tc>
          <w:p>
            <w:pPr>
              <w:pStyle w:val="Compact"/>
              <w:jc w:val="left"/>
            </w:pPr>
            <w:r>
              <w:t xml:space="preserve">Periodo 1997-2015</w:t>
            </w:r>
          </w:p>
        </w:tc>
        <w:tc>
          <w:p>
            <w:pPr>
              <w:pStyle w:val="Compact"/>
              <w:jc w:val="right"/>
            </w:pPr>
            <w:r>
              <w:t xml:space="preserve">12</w:t>
            </w:r>
          </w:p>
        </w:tc>
        <w:tc>
          <w:p>
            <w:pPr>
              <w:pStyle w:val="Compact"/>
              <w:jc w:val="left"/>
            </w:pPr>
            <w:r>
              <w:t xml:space="preserve">Multidimensional_2011</w:t>
            </w:r>
          </w:p>
        </w:tc>
        <w:tc>
          <w:p>
            <w:pPr>
              <w:pStyle w:val="Compact"/>
              <w:jc w:val="left"/>
            </w:pPr>
            <w:r>
              <w:t xml:space="preserve">Hombres</w:t>
            </w:r>
          </w:p>
        </w:tc>
        <w:tc>
          <w:p>
            <w:pPr>
              <w:pStyle w:val="Compact"/>
              <w:jc w:val="right"/>
            </w:pPr>
            <w:r>
              <w:t xml:space="preserve">1.09</w:t>
            </w:r>
          </w:p>
        </w:tc>
        <w:tc>
          <w:p>
            <w:pPr>
              <w:pStyle w:val="Compact"/>
              <w:jc w:val="right"/>
            </w:pPr>
            <w:r>
              <w:t xml:space="preserve">0.97</w:t>
            </w:r>
          </w:p>
        </w:tc>
        <w:tc>
          <w:p>
            <w:pPr>
              <w:pStyle w:val="Compact"/>
              <w:jc w:val="right"/>
            </w:pPr>
            <w:r>
              <w:t xml:space="preserve">1.23</w:t>
            </w:r>
          </w:p>
        </w:tc>
        <w:tc>
          <w:p>
            <w:pPr>
              <w:pStyle w:val="Compact"/>
              <w:jc w:val="right"/>
            </w:pPr>
            <w:r>
              <w:t xml:space="preserve">367.87</w:t>
            </w:r>
          </w:p>
        </w:tc>
      </w:tr>
      <w:tr>
        <w:tc>
          <w:p>
            <w:pPr>
              <w:pStyle w:val="Compact"/>
              <w:jc w:val="left"/>
            </w:pPr>
            <w:r>
              <w:t xml:space="preserve">Periodo 1997-2015</w:t>
            </w:r>
          </w:p>
        </w:tc>
        <w:tc>
          <w:p>
            <w:pPr>
              <w:pStyle w:val="Compact"/>
              <w:jc w:val="right"/>
            </w:pPr>
            <w:r>
              <w:t xml:space="preserve">15</w:t>
            </w:r>
          </w:p>
        </w:tc>
        <w:tc>
          <w:p>
            <w:pPr>
              <w:pStyle w:val="Compact"/>
              <w:jc w:val="left"/>
            </w:pPr>
            <w:r>
              <w:t xml:space="preserve">Multidimensional_2011</w:t>
            </w:r>
          </w:p>
        </w:tc>
        <w:tc>
          <w:p>
            <w:pPr>
              <w:pStyle w:val="Compact"/>
              <w:jc w:val="left"/>
            </w:pPr>
            <w:r>
              <w:t xml:space="preserve">Hombres</w:t>
            </w:r>
          </w:p>
        </w:tc>
        <w:tc>
          <w:p>
            <w:pPr>
              <w:pStyle w:val="Compact"/>
              <w:jc w:val="right"/>
            </w:pPr>
            <w:r>
              <w:t xml:space="preserve">0.90</w:t>
            </w:r>
          </w:p>
        </w:tc>
        <w:tc>
          <w:p>
            <w:pPr>
              <w:pStyle w:val="Compact"/>
              <w:jc w:val="right"/>
            </w:pPr>
            <w:r>
              <w:t xml:space="preserve">0.80</w:t>
            </w:r>
          </w:p>
        </w:tc>
        <w:tc>
          <w:p>
            <w:pPr>
              <w:pStyle w:val="Compact"/>
              <w:jc w:val="right"/>
            </w:pPr>
            <w:r>
              <w:t xml:space="preserve">1.02</w:t>
            </w:r>
          </w:p>
        </w:tc>
        <w:tc>
          <w:p>
            <w:pPr>
              <w:pStyle w:val="Compact"/>
              <w:jc w:val="right"/>
            </w:pPr>
            <w:r>
              <w:t xml:space="preserve">420.18</w:t>
            </w:r>
          </w:p>
        </w:tc>
      </w:tr>
      <w:tr>
        <w:tc>
          <w:p>
            <w:pPr>
              <w:pStyle w:val="Compact"/>
              <w:jc w:val="left"/>
            </w:pPr>
            <w:r>
              <w:t xml:space="preserve">Periodo 1997-2015</w:t>
            </w:r>
          </w:p>
        </w:tc>
        <w:tc>
          <w:p>
            <w:pPr>
              <w:pStyle w:val="Compact"/>
              <w:jc w:val="right"/>
            </w:pPr>
            <w:r>
              <w:t xml:space="preserve">16</w:t>
            </w:r>
          </w:p>
        </w:tc>
        <w:tc>
          <w:p>
            <w:pPr>
              <w:pStyle w:val="Compact"/>
              <w:jc w:val="left"/>
            </w:pPr>
            <w:r>
              <w:t xml:space="preserve">Multidimensional_2011</w:t>
            </w:r>
          </w:p>
        </w:tc>
        <w:tc>
          <w:p>
            <w:pPr>
              <w:pStyle w:val="Compact"/>
              <w:jc w:val="left"/>
            </w:pPr>
            <w:r>
              <w:t xml:space="preserve">Hombres</w:t>
            </w:r>
          </w:p>
        </w:tc>
        <w:tc>
          <w:p>
            <w:pPr>
              <w:pStyle w:val="Compact"/>
              <w:jc w:val="right"/>
            </w:pPr>
            <w:r>
              <w:t xml:space="preserve">1.07</w:t>
            </w:r>
          </w:p>
        </w:tc>
        <w:tc>
          <w:p>
            <w:pPr>
              <w:pStyle w:val="Compact"/>
              <w:jc w:val="right"/>
            </w:pPr>
            <w:r>
              <w:t xml:space="preserve">1.02</w:t>
            </w:r>
          </w:p>
        </w:tc>
        <w:tc>
          <w:p>
            <w:pPr>
              <w:pStyle w:val="Compact"/>
              <w:jc w:val="right"/>
            </w:pPr>
            <w:r>
              <w:t xml:space="preserve">1.13</w:t>
            </w:r>
          </w:p>
        </w:tc>
        <w:tc>
          <w:p>
            <w:pPr>
              <w:pStyle w:val="Compact"/>
              <w:jc w:val="right"/>
            </w:pPr>
            <w:r>
              <w:t xml:space="preserve">654.16</w:t>
            </w:r>
          </w:p>
        </w:tc>
      </w:tr>
      <w:tr>
        <w:tc>
          <w:p>
            <w:pPr>
              <w:pStyle w:val="Compact"/>
              <w:jc w:val="left"/>
            </w:pPr>
            <w:r>
              <w:t xml:space="preserve">Periodo 1997-2015</w:t>
            </w:r>
          </w:p>
        </w:tc>
        <w:tc>
          <w:p>
            <w:pPr>
              <w:pStyle w:val="Compact"/>
              <w:jc w:val="right"/>
            </w:pPr>
            <w:r>
              <w:t xml:space="preserve">17</w:t>
            </w:r>
          </w:p>
        </w:tc>
        <w:tc>
          <w:p>
            <w:pPr>
              <w:pStyle w:val="Compact"/>
              <w:jc w:val="left"/>
            </w:pPr>
            <w:r>
              <w:t xml:space="preserve">Multidimensional_2011</w:t>
            </w:r>
          </w:p>
        </w:tc>
        <w:tc>
          <w:p>
            <w:pPr>
              <w:pStyle w:val="Compact"/>
              <w:jc w:val="left"/>
            </w:pPr>
            <w:r>
              <w:t xml:space="preserve">Hombres</w:t>
            </w:r>
          </w:p>
        </w:tc>
        <w:tc>
          <w:p>
            <w:pPr>
              <w:pStyle w:val="Compact"/>
              <w:jc w:val="right"/>
            </w:pPr>
            <w:r>
              <w:t xml:space="preserve">1.05</w:t>
            </w:r>
          </w:p>
        </w:tc>
        <w:tc>
          <w:p>
            <w:pPr>
              <w:pStyle w:val="Compact"/>
              <w:jc w:val="right"/>
            </w:pPr>
            <w:r>
              <w:t xml:space="preserve">0.98</w:t>
            </w:r>
          </w:p>
        </w:tc>
        <w:tc>
          <w:p>
            <w:pPr>
              <w:pStyle w:val="Compact"/>
              <w:jc w:val="right"/>
            </w:pPr>
            <w:r>
              <w:t xml:space="preserve">1.11</w:t>
            </w:r>
          </w:p>
        </w:tc>
        <w:tc>
          <w:p>
            <w:pPr>
              <w:pStyle w:val="Compact"/>
              <w:jc w:val="right"/>
            </w:pPr>
            <w:r>
              <w:t xml:space="preserve">608.87</w:t>
            </w:r>
          </w:p>
        </w:tc>
      </w:tr>
      <w:tr>
        <w:tc>
          <w:p>
            <w:pPr>
              <w:pStyle w:val="Compact"/>
              <w:jc w:val="left"/>
            </w:pPr>
            <w:r>
              <w:t xml:space="preserve">Periodo 1997-2015</w:t>
            </w:r>
          </w:p>
        </w:tc>
        <w:tc>
          <w:p>
            <w:pPr>
              <w:pStyle w:val="Compact"/>
              <w:jc w:val="right"/>
            </w:pPr>
            <w:r>
              <w:t xml:space="preserve">18</w:t>
            </w:r>
          </w:p>
        </w:tc>
        <w:tc>
          <w:p>
            <w:pPr>
              <w:pStyle w:val="Compact"/>
              <w:jc w:val="left"/>
            </w:pPr>
            <w:r>
              <w:t xml:space="preserve">Multidimensional_2011</w:t>
            </w:r>
          </w:p>
        </w:tc>
        <w:tc>
          <w:p>
            <w:pPr>
              <w:pStyle w:val="Compact"/>
              <w:jc w:val="left"/>
            </w:pPr>
            <w:r>
              <w:t xml:space="preserve">Hombres</w:t>
            </w:r>
          </w:p>
        </w:tc>
        <w:tc>
          <w:p>
            <w:pPr>
              <w:pStyle w:val="Compact"/>
              <w:jc w:val="right"/>
            </w:pPr>
            <w:r>
              <w:t xml:space="preserve">1.15</w:t>
            </w:r>
          </w:p>
        </w:tc>
        <w:tc>
          <w:p>
            <w:pPr>
              <w:pStyle w:val="Compact"/>
              <w:jc w:val="right"/>
            </w:pPr>
            <w:r>
              <w:t xml:space="preserve">1.06</w:t>
            </w:r>
          </w:p>
        </w:tc>
        <w:tc>
          <w:p>
            <w:pPr>
              <w:pStyle w:val="Compact"/>
              <w:jc w:val="right"/>
            </w:pPr>
            <w:r>
              <w:t xml:space="preserve">1.24</w:t>
            </w:r>
          </w:p>
        </w:tc>
        <w:tc>
          <w:p>
            <w:pPr>
              <w:pStyle w:val="Compact"/>
              <w:jc w:val="right"/>
            </w:pPr>
            <w:r>
              <w:t xml:space="preserve">564.70</w:t>
            </w:r>
          </w:p>
        </w:tc>
      </w:tr>
      <w:tr>
        <w:tc>
          <w:p>
            <w:pPr>
              <w:pStyle w:val="Compact"/>
              <w:jc w:val="left"/>
            </w:pPr>
            <w:r>
              <w:t xml:space="preserve">Periodo 1997-2015</w:t>
            </w:r>
          </w:p>
        </w:tc>
        <w:tc>
          <w:p>
            <w:pPr>
              <w:pStyle w:val="Compact"/>
              <w:jc w:val="right"/>
            </w:pPr>
            <w:r>
              <w:t xml:space="preserve">19</w:t>
            </w:r>
          </w:p>
        </w:tc>
        <w:tc>
          <w:p>
            <w:pPr>
              <w:pStyle w:val="Compact"/>
              <w:jc w:val="left"/>
            </w:pPr>
            <w:r>
              <w:t xml:space="preserve">Multidimensional_2011</w:t>
            </w:r>
          </w:p>
        </w:tc>
        <w:tc>
          <w:p>
            <w:pPr>
              <w:pStyle w:val="Compact"/>
              <w:jc w:val="left"/>
            </w:pPr>
            <w:r>
              <w:t xml:space="preserve">Hombres</w:t>
            </w:r>
          </w:p>
        </w:tc>
        <w:tc>
          <w:p>
            <w:pPr>
              <w:pStyle w:val="Compact"/>
              <w:jc w:val="right"/>
            </w:pPr>
            <w:r>
              <w:t xml:space="preserve">1.20</w:t>
            </w:r>
          </w:p>
        </w:tc>
        <w:tc>
          <w:p>
            <w:pPr>
              <w:pStyle w:val="Compact"/>
              <w:jc w:val="right"/>
            </w:pPr>
            <w:r>
              <w:t xml:space="preserve">1.09</w:t>
            </w:r>
          </w:p>
        </w:tc>
        <w:tc>
          <w:p>
            <w:pPr>
              <w:pStyle w:val="Compact"/>
              <w:jc w:val="right"/>
            </w:pPr>
            <w:r>
              <w:t xml:space="preserve">1.32</w:t>
            </w:r>
          </w:p>
        </w:tc>
        <w:tc>
          <w:p>
            <w:pPr>
              <w:pStyle w:val="Compact"/>
              <w:jc w:val="right"/>
            </w:pPr>
            <w:r>
              <w:t xml:space="preserve">403.60</w:t>
            </w:r>
          </w:p>
        </w:tc>
      </w:tr>
      <w:tr>
        <w:tc>
          <w:p>
            <w:pPr>
              <w:pStyle w:val="Compact"/>
              <w:jc w:val="left"/>
            </w:pPr>
            <w:r>
              <w:t xml:space="preserve">Periodo 1997-2015</w:t>
            </w:r>
          </w:p>
        </w:tc>
        <w:tc>
          <w:p>
            <w:pPr>
              <w:pStyle w:val="Compact"/>
              <w:jc w:val="right"/>
            </w:pPr>
            <w:r>
              <w:t xml:space="preserve">20</w:t>
            </w:r>
          </w:p>
        </w:tc>
        <w:tc>
          <w:p>
            <w:pPr>
              <w:pStyle w:val="Compact"/>
              <w:jc w:val="left"/>
            </w:pPr>
            <w:r>
              <w:t xml:space="preserve">Multidimensional_2011</w:t>
            </w:r>
          </w:p>
        </w:tc>
        <w:tc>
          <w:p>
            <w:pPr>
              <w:pStyle w:val="Compact"/>
              <w:jc w:val="left"/>
            </w:pPr>
            <w:r>
              <w:t xml:space="preserve">Hombres</w:t>
            </w:r>
          </w:p>
        </w:tc>
        <w:tc>
          <w:p>
            <w:pPr>
              <w:pStyle w:val="Compact"/>
              <w:jc w:val="right"/>
            </w:pPr>
            <w:r>
              <w:t xml:space="preserve">1.07</w:t>
            </w:r>
          </w:p>
        </w:tc>
        <w:tc>
          <w:p>
            <w:pPr>
              <w:pStyle w:val="Compact"/>
              <w:jc w:val="right"/>
            </w:pPr>
            <w:r>
              <w:t xml:space="preserve">0.87</w:t>
            </w:r>
          </w:p>
        </w:tc>
        <w:tc>
          <w:p>
            <w:pPr>
              <w:pStyle w:val="Compact"/>
              <w:jc w:val="right"/>
            </w:pPr>
            <w:r>
              <w:t xml:space="preserve">1.31</w:t>
            </w:r>
          </w:p>
        </w:tc>
        <w:tc>
          <w:p>
            <w:pPr>
              <w:pStyle w:val="Compact"/>
              <w:jc w:val="right"/>
            </w:pPr>
            <w:r>
              <w:t xml:space="preserve">241.84</w:t>
            </w:r>
          </w:p>
        </w:tc>
      </w:tr>
      <w:tr>
        <w:tc>
          <w:p>
            <w:pPr>
              <w:pStyle w:val="Compact"/>
              <w:jc w:val="left"/>
            </w:pPr>
            <w:r>
              <w:t xml:space="preserve">Periodo 1997-2015</w:t>
            </w:r>
          </w:p>
        </w:tc>
        <w:tc>
          <w:p>
            <w:pPr>
              <w:pStyle w:val="Compact"/>
              <w:jc w:val="right"/>
            </w:pPr>
            <w:r>
              <w:t xml:space="preserve">21</w:t>
            </w:r>
          </w:p>
        </w:tc>
        <w:tc>
          <w:p>
            <w:pPr>
              <w:pStyle w:val="Compact"/>
              <w:jc w:val="left"/>
            </w:pPr>
            <w:r>
              <w:t xml:space="preserve">Multidimensional_2011</w:t>
            </w:r>
          </w:p>
        </w:tc>
        <w:tc>
          <w:p>
            <w:pPr>
              <w:pStyle w:val="Compact"/>
              <w:jc w:val="left"/>
            </w:pPr>
            <w:r>
              <w:t xml:space="preserve">Hombres</w:t>
            </w:r>
          </w:p>
        </w:tc>
        <w:tc>
          <w:p>
            <w:pPr>
              <w:pStyle w:val="Compact"/>
              <w:jc w:val="right"/>
            </w:pPr>
            <w:r>
              <w:t xml:space="preserve">1.09</w:t>
            </w:r>
          </w:p>
        </w:tc>
        <w:tc>
          <w:p>
            <w:pPr>
              <w:pStyle w:val="Compact"/>
              <w:jc w:val="right"/>
            </w:pPr>
            <w:r>
              <w:t xml:space="preserve">0.88</w:t>
            </w:r>
          </w:p>
        </w:tc>
        <w:tc>
          <w:p>
            <w:pPr>
              <w:pStyle w:val="Compact"/>
              <w:jc w:val="right"/>
            </w:pPr>
            <w:r>
              <w:t xml:space="preserve">1.34</w:t>
            </w:r>
          </w:p>
        </w:tc>
        <w:tc>
          <w:p>
            <w:pPr>
              <w:pStyle w:val="Compact"/>
              <w:jc w:val="right"/>
            </w:pPr>
            <w:r>
              <w:t xml:space="preserve">210.59</w:t>
            </w:r>
          </w:p>
        </w:tc>
      </w:tr>
    </w:tbl>
    <w:p>
      <w:pPr>
        <w:pStyle w:val="BodyText"/>
      </w:pPr>
      <w:r>
        <w:t xml:space="preserve">Representamos en la figura nº 30 los riesgos relativos para las causas :</w:t>
      </w:r>
      <w:r>
        <w:t xml:space="preserve"> </w:t>
      </w:r>
      <w:r>
        <w:t xml:space="preserve">“</w:t>
      </w:r>
      <w:r>
        <w:t xml:space="preserve">01</w:t>
      </w:r>
      <w:r>
        <w:t xml:space="preserve">”</w:t>
      </w:r>
      <w:r>
        <w:t xml:space="preserve">,</w:t>
      </w:r>
      <w:r>
        <w:t xml:space="preserve">“</w:t>
      </w:r>
      <w:r>
        <w:t xml:space="preserve">02</w:t>
      </w:r>
      <w:r>
        <w:t xml:space="preserve">”</w:t>
      </w:r>
      <w:r>
        <w:t xml:space="preserve">,</w:t>
      </w:r>
      <w:r>
        <w:t xml:space="preserve">“</w:t>
      </w:r>
      <w:r>
        <w:t xml:space="preserve">05</w:t>
      </w:r>
      <w:r>
        <w:t xml:space="preserve">”</w:t>
      </w:r>
      <w:r>
        <w:t xml:space="preserve">,</w:t>
      </w:r>
      <w:r>
        <w:t xml:space="preserve">“</w:t>
      </w:r>
      <w:r>
        <w:t xml:space="preserve">07</w:t>
      </w:r>
      <w:r>
        <w:t xml:space="preserve">”</w:t>
      </w:r>
      <w:r>
        <w:t xml:space="preserve">,</w:t>
      </w:r>
      <w:r>
        <w:t xml:space="preserve">“</w:t>
      </w:r>
      <w:r>
        <w:t xml:space="preserve">09</w:t>
      </w:r>
      <w:r>
        <w:t xml:space="preserve">”</w:t>
      </w:r>
      <w:r>
        <w:t xml:space="preserve">,</w:t>
      </w:r>
      <w:r>
        <w:t xml:space="preserve"> </w:t>
      </w:r>
      <w:r>
        <w:t xml:space="preserve">“</w:t>
      </w:r>
      <w:r>
        <w:t xml:space="preserve">10</w:t>
      </w:r>
      <w:r>
        <w:t xml:space="preserve">”</w:t>
      </w:r>
      <w:r>
        <w:t xml:space="preserve">,</w:t>
      </w:r>
      <w:r>
        <w:t xml:space="preserve">“</w:t>
      </w:r>
      <w:r>
        <w:t xml:space="preserve">11</w:t>
      </w:r>
      <w:r>
        <w:t xml:space="preserve">”</w:t>
      </w:r>
      <w:r>
        <w:t xml:space="preserve">,</w:t>
      </w:r>
      <w:r>
        <w:t xml:space="preserve">“</w:t>
      </w:r>
      <w:r>
        <w:t xml:space="preserve">12</w:t>
      </w:r>
      <w:r>
        <w:t xml:space="preserve">”</w:t>
      </w:r>
      <w:r>
        <w:t xml:space="preserve">,</w:t>
      </w:r>
      <w:r>
        <w:t xml:space="preserve">“</w:t>
      </w:r>
      <w:r>
        <w:t xml:space="preserve">15</w:t>
      </w:r>
      <w:r>
        <w:t xml:space="preserve">”</w:t>
      </w:r>
      <w:r>
        <w:t xml:space="preserve">,</w:t>
      </w:r>
      <w:r>
        <w:t xml:space="preserve">“</w:t>
      </w:r>
      <w:r>
        <w:t xml:space="preserve">16</w:t>
      </w:r>
      <w:r>
        <w:t xml:space="preserve">”</w:t>
      </w:r>
      <w:r>
        <w:t xml:space="preserve">,</w:t>
      </w:r>
      <w:r>
        <w:t xml:space="preserve">“</w:t>
      </w:r>
      <w:r>
        <w:t xml:space="preserve">17</w:t>
      </w:r>
      <w:r>
        <w:t xml:space="preserve">”</w:t>
      </w:r>
      <w:r>
        <w:t xml:space="preserve">,</w:t>
      </w:r>
      <w:r>
        <w:t xml:space="preserve">“</w:t>
      </w:r>
      <w:r>
        <w:t xml:space="preserve">18</w:t>
      </w:r>
      <w:r>
        <w:t xml:space="preserve">”</w:t>
      </w:r>
      <w:r>
        <w:t xml:space="preserve">,</w:t>
      </w:r>
      <w:r>
        <w:t xml:space="preserve">“</w:t>
      </w:r>
      <w:r>
        <w:t xml:space="preserve">19</w:t>
      </w:r>
      <w:r>
        <w:t xml:space="preserve">”</w:t>
      </w:r>
      <w:r>
        <w:t xml:space="preserve">,</w:t>
      </w:r>
      <w:r>
        <w:t xml:space="preserve">“</w:t>
      </w:r>
      <w:r>
        <w:t xml:space="preserve">20</w:t>
      </w:r>
      <w:r>
        <w:t xml:space="preserve">”</w:t>
      </w:r>
      <w:r>
        <w:t xml:space="preserve">,</w:t>
      </w:r>
      <w:r>
        <w:t xml:space="preserve">“</w:t>
      </w:r>
      <w:r>
        <w:t xml:space="preserve">21</w:t>
      </w:r>
      <w:r>
        <w:t xml:space="preserve">”</w:t>
      </w:r>
      <w:r>
        <w:t xml:space="preserve">. (Ver Anexo)</w:t>
      </w:r>
    </w:p>
    <w:p>
      <w:pPr>
        <w:pStyle w:val="BodyText"/>
      </w:pPr>
      <w:r>
        <w:drawing>
          <wp:inline>
            <wp:extent cx="4620126" cy="3696101"/>
            <wp:effectExtent b="0" l="0" r="0" t="0"/>
            <wp:docPr descr="" title="" id="1" name="Picture"/>
            <a:graphic>
              <a:graphicData uri="http://schemas.openxmlformats.org/drawingml/2006/picture">
                <pic:pic>
                  <pic:nvPicPr>
                    <pic:cNvPr descr="articulo_proyecto_medea_RMS_final_4_files/figure-docx/unnamed-chunk-57-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Resultados Mujeres</w:t>
      </w:r>
    </w:p>
    <w:bookmarkStart w:id="79" w:name="privación-medea"/>
    <w:p>
      <w:pPr>
        <w:pStyle w:val="Heading4"/>
      </w:pPr>
      <w:r>
        <w:t xml:space="preserve">privación Medea</w:t>
      </w:r>
    </w:p>
    <w:p>
      <w:pPr>
        <w:pStyle w:val="FirstParagraph"/>
      </w:pPr>
      <w:r>
        <w:t xml:space="preserve">Definimos la fórmula del modelo y ejecutamos la función</w:t>
      </w:r>
      <w:r>
        <w:t xml:space="preserve"> </w:t>
      </w:r>
      <w:r>
        <w:t xml:space="preserve">“</w:t>
      </w:r>
      <w:r>
        <w:t xml:space="preserve">inla</w:t>
      </w:r>
      <w:r>
        <w:t xml:space="preserve">”</w:t>
      </w:r>
      <w:r>
        <w:t xml:space="preserve">.</w:t>
      </w:r>
    </w:p>
    <w:p>
      <w:pPr>
        <w:pStyle w:val="SourceCode"/>
      </w:pPr>
      <w:r>
        <w:rPr>
          <w:rStyle w:val="NormalTok"/>
        </w:rPr>
        <w:t xml:space="preserve">sdunif       </w:t>
      </w:r>
      <w:r>
        <w:rPr>
          <w:rStyle w:val="OtherTok"/>
        </w:rPr>
        <w:t xml:space="preserve">&lt;-</w:t>
      </w:r>
      <w:r>
        <w:rPr>
          <w:rStyle w:val="NormalTok"/>
        </w:rPr>
        <w:t xml:space="preserve"> </w:t>
      </w:r>
      <w:r>
        <w:rPr>
          <w:rStyle w:val="StringTok"/>
        </w:rPr>
        <w:t xml:space="preserve">"expression:</w:t>
      </w:r>
      <w:r>
        <w:br/>
      </w:r>
      <w:r>
        <w:rPr>
          <w:rStyle w:val="StringTok"/>
        </w:rPr>
        <w:t xml:space="preserve">  logdens=log(0.5)-log_precision/2;</w:t>
      </w:r>
      <w:r>
        <w:br/>
      </w:r>
      <w:r>
        <w:rPr>
          <w:rStyle w:val="StringTok"/>
        </w:rPr>
        <w:t xml:space="preserve">  return(logdens);"</w:t>
      </w:r>
      <w:r>
        <w:br/>
      </w:r>
      <w:r>
        <w:rPr>
          <w:rStyle w:val="NormalTok"/>
        </w:rPr>
        <w:t xml:space="preserve">formula2 </w:t>
      </w:r>
      <w:r>
        <w:rPr>
          <w:rStyle w:val="OtherTok"/>
        </w:rPr>
        <w:t xml:space="preserve">&lt;-</w:t>
      </w:r>
      <w:r>
        <w:rPr>
          <w:rStyle w:val="NormalTok"/>
        </w:rPr>
        <w:t xml:space="preserve"> O </w:t>
      </w:r>
      <w:r>
        <w:rPr>
          <w:rStyle w:val="SpecialCharTok"/>
        </w:rPr>
        <w:t xml:space="preserve">~</w:t>
      </w:r>
      <w:r>
        <w:rPr>
          <w:rStyle w:val="NormalTok"/>
        </w:rPr>
        <w:t xml:space="preserve"> </w:t>
      </w:r>
      <w:r>
        <w:rPr>
          <w:rStyle w:val="FunctionTok"/>
        </w:rPr>
        <w:t xml:space="preserve">f</w:t>
      </w:r>
      <w:r>
        <w:rPr>
          <w:rStyle w:val="NormalTok"/>
        </w:rPr>
        <w:t xml:space="preserve">(</w:t>
      </w:r>
      <w:r>
        <w:br/>
      </w:r>
      <w:r>
        <w:rPr>
          <w:rStyle w:val="NormalTok"/>
        </w:rPr>
        <w:t xml:space="preserve">  region.struct,</w:t>
      </w:r>
      <w:r>
        <w:br/>
      </w:r>
      <w:r>
        <w:rPr>
          <w:rStyle w:val="NormalTok"/>
        </w:rPr>
        <w:t xml:space="preserve">  </w:t>
      </w:r>
      <w:r>
        <w:rPr>
          <w:rStyle w:val="AttributeTok"/>
        </w:rPr>
        <w:t xml:space="preserve">model =</w:t>
      </w:r>
      <w:r>
        <w:rPr>
          <w:rStyle w:val="NormalTok"/>
        </w:rPr>
        <w:t xml:space="preserve"> </w:t>
      </w:r>
      <w:r>
        <w:rPr>
          <w:rStyle w:val="StringTok"/>
        </w:rPr>
        <w:t xml:space="preserve">"bym"</w:t>
      </w:r>
      <w:r>
        <w:rPr>
          <w:rStyle w:val="NormalTok"/>
        </w:rPr>
        <w:t xml:space="preserve">,</w:t>
      </w:r>
      <w:r>
        <w:br/>
      </w:r>
      <w:r>
        <w:rPr>
          <w:rStyle w:val="NormalTok"/>
        </w:rPr>
        <w:t xml:space="preserve">  </w:t>
      </w:r>
      <w:r>
        <w:rPr>
          <w:rStyle w:val="AttributeTok"/>
        </w:rPr>
        <w:t xml:space="preserve">graph =</w:t>
      </w:r>
      <w:r>
        <w:rPr>
          <w:rStyle w:val="NormalTok"/>
        </w:rPr>
        <w:t xml:space="preserve"> </w:t>
      </w:r>
      <w:r>
        <w:rPr>
          <w:rStyle w:val="StringTok"/>
        </w:rPr>
        <w:t xml:space="preserve">"Santander_nb.inla"</w:t>
      </w:r>
      <w:r>
        <w:rPr>
          <w:rStyle w:val="NormalTok"/>
        </w:rPr>
        <w:t xml:space="preserve">,</w:t>
      </w:r>
      <w:r>
        <w:br/>
      </w:r>
      <w:r>
        <w:rPr>
          <w:rStyle w:val="NormalTok"/>
        </w:rPr>
        <w:t xml:space="preserve">  </w:t>
      </w:r>
      <w:r>
        <w:rPr>
          <w:rStyle w:val="AttributeTok"/>
        </w:rPr>
        <w:t xml:space="preserve">hyper =</w:t>
      </w:r>
      <w:r>
        <w:rPr>
          <w:rStyle w:val="NormalTok"/>
        </w:rPr>
        <w:t xml:space="preserve"> </w:t>
      </w:r>
      <w:r>
        <w:rPr>
          <w:rStyle w:val="FunctionTok"/>
        </w:rPr>
        <w:t xml:space="preserve">list</w:t>
      </w:r>
      <w:r>
        <w:rPr>
          <w:rStyle w:val="NormalTok"/>
        </w:rPr>
        <w:t xml:space="preserve">(</w:t>
      </w:r>
      <w:r>
        <w:rPr>
          <w:rStyle w:val="AttributeTok"/>
        </w:rPr>
        <w:t xml:space="preserve">prec.unstruct =</w:t>
      </w:r>
      <w:r>
        <w:rPr>
          <w:rStyle w:val="NormalTok"/>
        </w:rPr>
        <w:t xml:space="preserve"> </w:t>
      </w:r>
      <w:r>
        <w:rPr>
          <w:rStyle w:val="FunctionTok"/>
        </w:rPr>
        <w:t xml:space="preserve">list</w:t>
      </w:r>
      <w:r>
        <w:rPr>
          <w:rStyle w:val="NormalTok"/>
        </w:rPr>
        <w:t xml:space="preserve">(</w:t>
      </w:r>
      <w:r>
        <w:rPr>
          <w:rStyle w:val="AttributeTok"/>
        </w:rPr>
        <w:t xml:space="preserve">prior =</w:t>
      </w:r>
      <w:r>
        <w:rPr>
          <w:rStyle w:val="NormalTok"/>
        </w:rPr>
        <w:t xml:space="preserve"> sdunif), </w:t>
      </w:r>
      <w:r>
        <w:rPr>
          <w:rStyle w:val="AttributeTok"/>
        </w:rPr>
        <w:t xml:space="preserve">prec.spatial =</w:t>
      </w:r>
      <w:r>
        <w:rPr>
          <w:rStyle w:val="NormalTok"/>
        </w:rPr>
        <w:t xml:space="preserve"> </w:t>
      </w:r>
      <w:r>
        <w:rPr>
          <w:rStyle w:val="FunctionTok"/>
        </w:rPr>
        <w:t xml:space="preserve">list</w:t>
      </w:r>
      <w:r>
        <w:rPr>
          <w:rStyle w:val="NormalTok"/>
        </w:rPr>
        <w:t xml:space="preserve">(</w:t>
      </w:r>
      <w:r>
        <w:rPr>
          <w:rStyle w:val="AttributeTok"/>
        </w:rPr>
        <w:t xml:space="preserve">prior =</w:t>
      </w:r>
      <w:r>
        <w:rPr>
          <w:rStyle w:val="NormalTok"/>
        </w:rPr>
        <w:t xml:space="preserve"> sdunif))) </w:t>
      </w:r>
      <w:r>
        <w:rPr>
          <w:rStyle w:val="SpecialCharTok"/>
        </w:rPr>
        <w:t xml:space="preserve">+</w:t>
      </w:r>
      <w:r>
        <w:rPr>
          <w:rStyle w:val="NormalTok"/>
        </w:rPr>
        <w:t xml:space="preserve"> Privacion</w:t>
      </w:r>
      <w:r>
        <w:br/>
      </w:r>
      <w:r>
        <w:rPr>
          <w:rStyle w:val="NormalTok"/>
        </w:rPr>
        <w:t xml:space="preserve">resultado.p1 </w:t>
      </w:r>
      <w:r>
        <w:rPr>
          <w:rStyle w:val="OtherTok"/>
        </w:rPr>
        <w:t xml:space="preserve">&lt;-</w:t>
      </w:r>
      <w:r>
        <w:rPr>
          <w:rStyle w:val="NormalTok"/>
        </w:rPr>
        <w:t xml:space="preserve"> </w:t>
      </w:r>
      <w:r>
        <w:rPr>
          <w:rStyle w:val="FunctionTok"/>
        </w:rPr>
        <w:t xml:space="preserve">inla</w:t>
      </w:r>
      <w:r>
        <w:rPr>
          <w:rStyle w:val="NormalTok"/>
        </w:rPr>
        <w:t xml:space="preserve">(formula2, </w:t>
      </w:r>
      <w:r>
        <w:rPr>
          <w:rStyle w:val="AttributeTok"/>
        </w:rPr>
        <w:t xml:space="preserve">family=</w:t>
      </w:r>
      <w:r>
        <w:rPr>
          <w:rStyle w:val="StringTok"/>
        </w:rPr>
        <w:t xml:space="preserve">"poisson"</w:t>
      </w:r>
      <w:r>
        <w:rPr>
          <w:rStyle w:val="NormalTok"/>
        </w:rPr>
        <w:t xml:space="preserve">,</w:t>
      </w:r>
      <w:r>
        <w:rPr>
          <w:rStyle w:val="AttributeTok"/>
        </w:rPr>
        <w:t xml:space="preserve">data=</w:t>
      </w:r>
      <w:r>
        <w:rPr>
          <w:rStyle w:val="NormalTok"/>
        </w:rPr>
        <w:t xml:space="preserve">Datos, </w:t>
      </w:r>
      <w:r>
        <w:rPr>
          <w:rStyle w:val="AttributeTok"/>
        </w:rPr>
        <w:t xml:space="preserve">E=</w:t>
      </w:r>
      <w:r>
        <w:rPr>
          <w:rStyle w:val="NormalTok"/>
        </w:rPr>
        <w:t xml:space="preserve">E,</w:t>
      </w:r>
      <w:r>
        <w:br/>
      </w:r>
      <w:r>
        <w:rPr>
          <w:rStyle w:val="AttributeTok"/>
        </w:rPr>
        <w:t xml:space="preserve">control.compute=</w:t>
      </w:r>
      <w:r>
        <w:rPr>
          <w:rStyle w:val="FunctionTok"/>
        </w:rPr>
        <w:t xml:space="preserve">list</w:t>
      </w:r>
      <w:r>
        <w:rPr>
          <w:rStyle w:val="NormalTok"/>
        </w:rPr>
        <w:t xml:space="preserve">(</w:t>
      </w:r>
      <w:r>
        <w:rPr>
          <w:rStyle w:val="AttributeTok"/>
        </w:rPr>
        <w:t xml:space="preserve">dic=</w:t>
      </w:r>
      <w:r>
        <w:rPr>
          <w:rStyle w:val="NormalTok"/>
        </w:rPr>
        <w:t xml:space="preserve">T, </w:t>
      </w:r>
      <w:r>
        <w:rPr>
          <w:rStyle w:val="AttributeTok"/>
        </w:rPr>
        <w:t xml:space="preserve">cpo=</w:t>
      </w:r>
      <w:r>
        <w:rPr>
          <w:rStyle w:val="ConstantTok"/>
        </w:rPr>
        <w:t xml:space="preserve">TRUE</w:t>
      </w:r>
      <w:r>
        <w:rPr>
          <w:rStyle w:val="NormalTok"/>
        </w:rPr>
        <w:t xml:space="preserve">),</w:t>
      </w:r>
      <w:r>
        <w:br/>
      </w:r>
      <w:r>
        <w:rPr>
          <w:rStyle w:val="AttributeTok"/>
        </w:rPr>
        <w:t xml:space="preserve">control.predictor=</w:t>
      </w:r>
      <w:r>
        <w:rPr>
          <w:rStyle w:val="FunctionTok"/>
        </w:rPr>
        <w:t xml:space="preserve">list</w:t>
      </w:r>
      <w:r>
        <w:rPr>
          <w:rStyle w:val="NormalTok"/>
        </w:rPr>
        <w:t xml:space="preserve">(</w:t>
      </w:r>
      <w:r>
        <w:rPr>
          <w:rStyle w:val="AttributeTok"/>
        </w:rPr>
        <w:t xml:space="preserve">compute=</w:t>
      </w:r>
      <w:r>
        <w:rPr>
          <w:rStyle w:val="ConstantTok"/>
        </w:rPr>
        <w:t xml:space="preserve">TRUE</w:t>
      </w:r>
      <w:r>
        <w:rPr>
          <w:rStyle w:val="NormalTok"/>
        </w:rPr>
        <w:t xml:space="preserve">, </w:t>
      </w:r>
      <w:r>
        <w:rPr>
          <w:rStyle w:val="AttributeTok"/>
        </w:rPr>
        <w:t xml:space="preserve">cdf=</w:t>
      </w:r>
      <w:r>
        <w:rPr>
          <w:rStyle w:val="FunctionTok"/>
        </w:rPr>
        <w:t xml:space="preserve">c</w:t>
      </w:r>
      <w:r>
        <w:rPr>
          <w:rStyle w:val="NormalTok"/>
        </w:rPr>
        <w:t xml:space="preserve">(</w:t>
      </w:r>
      <w:r>
        <w:rPr>
          <w:rStyle w:val="FunctionTok"/>
        </w:rPr>
        <w:t xml:space="preserve">log</w:t>
      </w:r>
      <w:r>
        <w:rPr>
          <w:rStyle w:val="NormalTok"/>
        </w:rPr>
        <w:t xml:space="preserve">(</w:t>
      </w:r>
      <w:r>
        <w:rPr>
          <w:rStyle w:val="DecValTok"/>
        </w:rPr>
        <w:t xml:space="preserve">1</w:t>
      </w:r>
      <w:r>
        <w:rPr>
          <w:rStyle w:val="NormalTok"/>
        </w:rPr>
        <w:t xml:space="preserve">))),</w:t>
      </w:r>
      <w:r>
        <w:br/>
      </w:r>
      <w:r>
        <w:rPr>
          <w:rStyle w:val="AttributeTok"/>
        </w:rPr>
        <w:t xml:space="preserve">control.inla=</w:t>
      </w:r>
      <w:r>
        <w:rPr>
          <w:rStyle w:val="FunctionTok"/>
        </w:rPr>
        <w:t xml:space="preserve">list</w:t>
      </w:r>
      <w:r>
        <w:rPr>
          <w:rStyle w:val="NormalTok"/>
        </w:rPr>
        <w:t xml:space="preserve">(</w:t>
      </w:r>
      <w:r>
        <w:rPr>
          <w:rStyle w:val="AttributeTok"/>
        </w:rPr>
        <w:t xml:space="preserve">strategy=</w:t>
      </w:r>
      <w:r>
        <w:rPr>
          <w:rStyle w:val="StringTok"/>
        </w:rPr>
        <w:t xml:space="preserve">"laplace"</w:t>
      </w:r>
      <w:r>
        <w:rPr>
          <w:rStyle w:val="NormalTok"/>
        </w:rPr>
        <w:t xml:space="preserve">, </w:t>
      </w:r>
      <w:r>
        <w:rPr>
          <w:rStyle w:val="AttributeTok"/>
        </w:rPr>
        <w:t xml:space="preserve">int.strategy=</w:t>
      </w:r>
      <w:r>
        <w:rPr>
          <w:rStyle w:val="StringTok"/>
        </w:rPr>
        <w:t xml:space="preserve">"grid"</w:t>
      </w:r>
      <w:r>
        <w:rPr>
          <w:rStyle w:val="NormalTok"/>
        </w:rPr>
        <w:t xml:space="preserve">))</w:t>
      </w:r>
    </w:p>
    <w:p>
      <w:pPr>
        <w:pStyle w:val="FirstParagraph"/>
      </w:pPr>
      <w:r>
        <w:t xml:space="preserve">Representamos gráficamente la función de densidad de la distribución a posteriori del Riesgo Relativo (RR) (Figura 31).</w:t>
      </w:r>
    </w:p>
    <w:p>
      <w:pPr>
        <w:pStyle w:val="SourceCode"/>
      </w:pPr>
      <w:r>
        <w:rPr>
          <w:rStyle w:val="VerbatimChar"/>
        </w:rPr>
        <w:t xml:space="preserve">##   Length Class  Mode   </w:t>
      </w:r>
      <w:r>
        <w:br/>
      </w:r>
      <w:r>
        <w:rPr>
          <w:rStyle w:val="VerbatimChar"/>
        </w:rPr>
        <w:t xml:space="preserve">## x 1095   -none- numeric</w:t>
      </w:r>
      <w:r>
        <w:br/>
      </w:r>
      <w:r>
        <w:rPr>
          <w:rStyle w:val="VerbatimChar"/>
        </w:rPr>
        <w:t xml:space="preserve">## y 1095   -none- numeric</w:t>
      </w:r>
    </w:p>
    <w:p>
      <w:pPr>
        <w:pStyle w:val="FirstParagraph"/>
      </w:pPr>
      <w:r>
        <w:drawing>
          <wp:inline>
            <wp:extent cx="4620126" cy="3696101"/>
            <wp:effectExtent b="0" l="0" r="0" t="0"/>
            <wp:docPr descr="" title="" id="1" name="Picture"/>
            <a:graphic>
              <a:graphicData uri="http://schemas.openxmlformats.org/drawingml/2006/picture">
                <pic:pic>
                  <pic:nvPicPr>
                    <pic:cNvPr descr="articulo_proyecto_medea_RMS_final_4_files/figure-docx/unnamed-chunk-63-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Los resultados finales se han recogido en la Tabla nº 3.</w:t>
      </w:r>
    </w:p>
    <w:p>
      <w:pPr>
        <w:pStyle w:val="SourceCode"/>
      </w:pPr>
      <w:r>
        <w:rPr>
          <w:rStyle w:val="VerbatimChar"/>
        </w:rPr>
        <w:t xml:space="preserve">##             Periodo Causa     Indice  Genero    media perc.2.5. perc.97.5.</w:t>
      </w:r>
      <w:r>
        <w:br/>
      </w:r>
      <w:r>
        <w:rPr>
          <w:rStyle w:val="VerbatimChar"/>
        </w:rPr>
        <w:t xml:space="preserve">## 1 Periodo 1997-2015    22 Medea_2011 Mujeres 1.100649 0.9830993   1.233133</w:t>
      </w:r>
      <w:r>
        <w:br/>
      </w:r>
      <w:r>
        <w:rPr>
          <w:rStyle w:val="VerbatimChar"/>
        </w:rPr>
        <w:t xml:space="preserve">##        DIC</w:t>
      </w:r>
      <w:r>
        <w:br/>
      </w:r>
      <w:r>
        <w:rPr>
          <w:rStyle w:val="VerbatimChar"/>
        </w:rPr>
        <w:t xml:space="preserve">## 1 1002.955</w:t>
      </w:r>
    </w:p>
    <w:p>
      <w:pPr>
        <w:pStyle w:val="TableCaption"/>
      </w:pPr>
      <w:r>
        <w:t xml:space="preserve">Tabla nº3.Tabla Resultados Mujeres.Indicador Medea 2011</w:t>
      </w:r>
    </w:p>
    <w:tbl>
      <w:tblPr>
        <w:tblStyle w:val="Table"/>
        <w:tblW w:type="pct" w:w="0.0"/>
        <w:tblLook w:firstRow="1" w:lastRow="0" w:firstColumn="0" w:lastColumn="0" w:noHBand="0" w:noVBand="0" w:val="0020"/>
        <w:tblCaption w:val="Tabla nº3.Tabla Resultados Mujeres.Indicador Medea 2011"/>
      </w:tblPr>
      <w:tblGrid/>
      <w:tr>
        <w:tc>
          <w:p>
            <w:pPr>
              <w:pStyle w:val="Compact"/>
              <w:jc w:val="left"/>
            </w:pPr>
            <w:r>
              <w:t xml:space="preserve">Periodo</w:t>
            </w:r>
          </w:p>
        </w:tc>
        <w:tc>
          <w:p>
            <w:pPr>
              <w:pStyle w:val="Compact"/>
              <w:jc w:val="right"/>
            </w:pPr>
            <w:r>
              <w:t xml:space="preserve">Causa</w:t>
            </w:r>
          </w:p>
        </w:tc>
        <w:tc>
          <w:p>
            <w:pPr>
              <w:pStyle w:val="Compact"/>
              <w:jc w:val="left"/>
            </w:pPr>
            <w:r>
              <w:t xml:space="preserve">Indice</w:t>
            </w:r>
          </w:p>
        </w:tc>
        <w:tc>
          <w:p>
            <w:pPr>
              <w:pStyle w:val="Compact"/>
              <w:jc w:val="left"/>
            </w:pPr>
            <w:r>
              <w:t xml:space="preserve">Genero</w:t>
            </w:r>
          </w:p>
        </w:tc>
        <w:tc>
          <w:p>
            <w:pPr>
              <w:pStyle w:val="Compact"/>
              <w:jc w:val="right"/>
            </w:pPr>
            <w:r>
              <w:t xml:space="preserve">media</w:t>
            </w:r>
          </w:p>
        </w:tc>
        <w:tc>
          <w:p>
            <w:pPr>
              <w:pStyle w:val="Compact"/>
              <w:jc w:val="right"/>
            </w:pPr>
            <w:r>
              <w:t xml:space="preserve">perc.2.5.</w:t>
            </w:r>
          </w:p>
        </w:tc>
        <w:tc>
          <w:p>
            <w:pPr>
              <w:pStyle w:val="Compact"/>
              <w:jc w:val="right"/>
            </w:pPr>
            <w:r>
              <w:t xml:space="preserve">perc.97.5.</w:t>
            </w:r>
          </w:p>
        </w:tc>
        <w:tc>
          <w:p>
            <w:pPr>
              <w:pStyle w:val="Compact"/>
              <w:jc w:val="right"/>
            </w:pPr>
            <w:r>
              <w:t xml:space="preserve">DIC</w:t>
            </w:r>
          </w:p>
        </w:tc>
      </w:tr>
      <w:tr>
        <w:tc>
          <w:p>
            <w:pPr>
              <w:pStyle w:val="Compact"/>
              <w:jc w:val="left"/>
            </w:pPr>
            <w:r>
              <w:t xml:space="preserve">Periodo 1997-2015</w:t>
            </w:r>
          </w:p>
        </w:tc>
        <w:tc>
          <w:p>
            <w:pPr>
              <w:pStyle w:val="Compact"/>
              <w:jc w:val="right"/>
            </w:pPr>
            <w:r>
              <w:t xml:space="preserve">22</w:t>
            </w:r>
          </w:p>
        </w:tc>
        <w:tc>
          <w:p>
            <w:pPr>
              <w:pStyle w:val="Compact"/>
              <w:jc w:val="left"/>
            </w:pPr>
            <w:r>
              <w:t xml:space="preserve">Medea_2011</w:t>
            </w:r>
          </w:p>
        </w:tc>
        <w:tc>
          <w:p>
            <w:pPr>
              <w:pStyle w:val="Compact"/>
              <w:jc w:val="left"/>
            </w:pPr>
            <w:r>
              <w:t xml:space="preserve">Mujeres</w:t>
            </w:r>
          </w:p>
        </w:tc>
        <w:tc>
          <w:p>
            <w:pPr>
              <w:pStyle w:val="Compact"/>
              <w:jc w:val="right"/>
            </w:pPr>
            <w:r>
              <w:t xml:space="preserve">1.10</w:t>
            </w:r>
          </w:p>
        </w:tc>
        <w:tc>
          <w:p>
            <w:pPr>
              <w:pStyle w:val="Compact"/>
              <w:jc w:val="right"/>
            </w:pPr>
            <w:r>
              <w:t xml:space="preserve">0.98</w:t>
            </w:r>
          </w:p>
        </w:tc>
        <w:tc>
          <w:p>
            <w:pPr>
              <w:pStyle w:val="Compact"/>
              <w:jc w:val="right"/>
            </w:pPr>
            <w:r>
              <w:t xml:space="preserve">1.23</w:t>
            </w:r>
          </w:p>
        </w:tc>
        <w:tc>
          <w:p>
            <w:pPr>
              <w:pStyle w:val="Compact"/>
              <w:jc w:val="right"/>
            </w:pPr>
            <w:r>
              <w:t xml:space="preserve">1002.95</w:t>
            </w:r>
          </w:p>
        </w:tc>
      </w:tr>
      <w:tr>
        <w:tc>
          <w:p>
            <w:pPr>
              <w:pStyle w:val="Compact"/>
              <w:jc w:val="left"/>
            </w:pPr>
            <w:r>
              <w:t xml:space="preserve">Periodo 1997-2015</w:t>
            </w:r>
          </w:p>
        </w:tc>
        <w:tc>
          <w:p>
            <w:pPr>
              <w:pStyle w:val="Compact"/>
              <w:jc w:val="right"/>
            </w:pPr>
            <w:r>
              <w:t xml:space="preserve">2</w:t>
            </w:r>
          </w:p>
        </w:tc>
        <w:tc>
          <w:p>
            <w:pPr>
              <w:pStyle w:val="Compact"/>
              <w:jc w:val="left"/>
            </w:pPr>
            <w:r>
              <w:t xml:space="preserve">Medea_2011</w:t>
            </w:r>
          </w:p>
        </w:tc>
        <w:tc>
          <w:p>
            <w:pPr>
              <w:pStyle w:val="Compact"/>
              <w:jc w:val="left"/>
            </w:pPr>
            <w:r>
              <w:t xml:space="preserve">Mujeres</w:t>
            </w:r>
          </w:p>
        </w:tc>
        <w:tc>
          <w:p>
            <w:pPr>
              <w:pStyle w:val="Compact"/>
              <w:jc w:val="right"/>
            </w:pPr>
            <w:r>
              <w:t xml:space="preserve">0.79</w:t>
            </w:r>
          </w:p>
        </w:tc>
        <w:tc>
          <w:p>
            <w:pPr>
              <w:pStyle w:val="Compact"/>
              <w:jc w:val="right"/>
            </w:pPr>
            <w:r>
              <w:t xml:space="preserve">0.48</w:t>
            </w:r>
          </w:p>
        </w:tc>
        <w:tc>
          <w:p>
            <w:pPr>
              <w:pStyle w:val="Compact"/>
              <w:jc w:val="right"/>
            </w:pPr>
            <w:r>
              <w:t xml:space="preserve">1.29</w:t>
            </w:r>
          </w:p>
        </w:tc>
        <w:tc>
          <w:p>
            <w:pPr>
              <w:pStyle w:val="Compact"/>
              <w:jc w:val="right"/>
            </w:pPr>
            <w:r>
              <w:t xml:space="preserve">370.87</w:t>
            </w:r>
          </w:p>
        </w:tc>
      </w:tr>
      <w:tr>
        <w:tc>
          <w:p>
            <w:pPr>
              <w:pStyle w:val="Compact"/>
              <w:jc w:val="left"/>
            </w:pPr>
            <w:r>
              <w:t xml:space="preserve">Periodo 1997-2015</w:t>
            </w:r>
          </w:p>
        </w:tc>
        <w:tc>
          <w:p>
            <w:pPr>
              <w:pStyle w:val="Compact"/>
              <w:jc w:val="right"/>
            </w:pPr>
            <w:r>
              <w:t xml:space="preserve">5</w:t>
            </w:r>
          </w:p>
        </w:tc>
        <w:tc>
          <w:p>
            <w:pPr>
              <w:pStyle w:val="Compact"/>
              <w:jc w:val="left"/>
            </w:pPr>
            <w:r>
              <w:t xml:space="preserve">Medea_2011</w:t>
            </w:r>
          </w:p>
        </w:tc>
        <w:tc>
          <w:p>
            <w:pPr>
              <w:pStyle w:val="Compact"/>
              <w:jc w:val="left"/>
            </w:pPr>
            <w:r>
              <w:t xml:space="preserve">Mujeres</w:t>
            </w:r>
          </w:p>
        </w:tc>
        <w:tc>
          <w:p>
            <w:pPr>
              <w:pStyle w:val="Compact"/>
              <w:jc w:val="right"/>
            </w:pPr>
            <w:r>
              <w:t xml:space="preserve">1.09</w:t>
            </w:r>
          </w:p>
        </w:tc>
        <w:tc>
          <w:p>
            <w:pPr>
              <w:pStyle w:val="Compact"/>
              <w:jc w:val="right"/>
            </w:pPr>
            <w:r>
              <w:t xml:space="preserve">0.79</w:t>
            </w:r>
          </w:p>
        </w:tc>
        <w:tc>
          <w:p>
            <w:pPr>
              <w:pStyle w:val="Compact"/>
              <w:jc w:val="right"/>
            </w:pPr>
            <w:r>
              <w:t xml:space="preserve">1.52</w:t>
            </w:r>
          </w:p>
        </w:tc>
        <w:tc>
          <w:p>
            <w:pPr>
              <w:pStyle w:val="Compact"/>
              <w:jc w:val="right"/>
            </w:pPr>
            <w:r>
              <w:t xml:space="preserve">514.20</w:t>
            </w:r>
          </w:p>
        </w:tc>
      </w:tr>
      <w:tr>
        <w:tc>
          <w:p>
            <w:pPr>
              <w:pStyle w:val="Compact"/>
              <w:jc w:val="left"/>
            </w:pPr>
            <w:r>
              <w:t xml:space="preserve">Periodo 1997-2015</w:t>
            </w:r>
          </w:p>
        </w:tc>
        <w:tc>
          <w:p>
            <w:pPr>
              <w:pStyle w:val="Compact"/>
              <w:jc w:val="right"/>
            </w:pPr>
            <w:r>
              <w:t xml:space="preserve">7</w:t>
            </w:r>
          </w:p>
        </w:tc>
        <w:tc>
          <w:p>
            <w:pPr>
              <w:pStyle w:val="Compact"/>
              <w:jc w:val="left"/>
            </w:pPr>
            <w:r>
              <w:t xml:space="preserve">Medea_2011</w:t>
            </w:r>
          </w:p>
        </w:tc>
        <w:tc>
          <w:p>
            <w:pPr>
              <w:pStyle w:val="Compact"/>
              <w:jc w:val="left"/>
            </w:pPr>
            <w:r>
              <w:t xml:space="preserve">Mujeres</w:t>
            </w:r>
          </w:p>
        </w:tc>
        <w:tc>
          <w:p>
            <w:pPr>
              <w:pStyle w:val="Compact"/>
              <w:jc w:val="right"/>
            </w:pPr>
            <w:r>
              <w:t xml:space="preserve">0.76</w:t>
            </w:r>
          </w:p>
        </w:tc>
        <w:tc>
          <w:p>
            <w:pPr>
              <w:pStyle w:val="Compact"/>
              <w:jc w:val="right"/>
            </w:pPr>
            <w:r>
              <w:t xml:space="preserve">0.53</w:t>
            </w:r>
          </w:p>
        </w:tc>
        <w:tc>
          <w:p>
            <w:pPr>
              <w:pStyle w:val="Compact"/>
              <w:jc w:val="right"/>
            </w:pPr>
            <w:r>
              <w:t xml:space="preserve">1.10</w:t>
            </w:r>
          </w:p>
        </w:tc>
        <w:tc>
          <w:p>
            <w:pPr>
              <w:pStyle w:val="Compact"/>
              <w:jc w:val="right"/>
            </w:pPr>
            <w:r>
              <w:t xml:space="preserve">429.12</w:t>
            </w:r>
          </w:p>
        </w:tc>
      </w:tr>
      <w:tr>
        <w:tc>
          <w:p>
            <w:pPr>
              <w:pStyle w:val="Compact"/>
              <w:jc w:val="left"/>
            </w:pPr>
            <w:r>
              <w:t xml:space="preserve">Periodo 1997-2015</w:t>
            </w:r>
          </w:p>
        </w:tc>
        <w:tc>
          <w:p>
            <w:pPr>
              <w:pStyle w:val="Compact"/>
              <w:jc w:val="right"/>
            </w:pPr>
            <w:r>
              <w:t xml:space="preserve">8</w:t>
            </w:r>
          </w:p>
        </w:tc>
        <w:tc>
          <w:p>
            <w:pPr>
              <w:pStyle w:val="Compact"/>
              <w:jc w:val="left"/>
            </w:pPr>
            <w:r>
              <w:t xml:space="preserve">Medea_2011</w:t>
            </w:r>
          </w:p>
        </w:tc>
        <w:tc>
          <w:p>
            <w:pPr>
              <w:pStyle w:val="Compact"/>
              <w:jc w:val="left"/>
            </w:pPr>
            <w:r>
              <w:t xml:space="preserve">Mujeres</w:t>
            </w:r>
          </w:p>
        </w:tc>
        <w:tc>
          <w:p>
            <w:pPr>
              <w:pStyle w:val="Compact"/>
              <w:jc w:val="right"/>
            </w:pPr>
            <w:r>
              <w:t xml:space="preserve">1.04</w:t>
            </w:r>
          </w:p>
        </w:tc>
        <w:tc>
          <w:p>
            <w:pPr>
              <w:pStyle w:val="Compact"/>
              <w:jc w:val="right"/>
            </w:pPr>
            <w:r>
              <w:t xml:space="preserve">0.77</w:t>
            </w:r>
          </w:p>
        </w:tc>
        <w:tc>
          <w:p>
            <w:pPr>
              <w:pStyle w:val="Compact"/>
              <w:jc w:val="right"/>
            </w:pPr>
            <w:r>
              <w:t xml:space="preserve">1.40</w:t>
            </w:r>
          </w:p>
        </w:tc>
        <w:tc>
          <w:p>
            <w:pPr>
              <w:pStyle w:val="Compact"/>
              <w:jc w:val="right"/>
            </w:pPr>
            <w:r>
              <w:t xml:space="preserve">523.68</w:t>
            </w:r>
          </w:p>
        </w:tc>
      </w:tr>
      <w:tr>
        <w:tc>
          <w:p>
            <w:pPr>
              <w:pStyle w:val="Compact"/>
              <w:jc w:val="left"/>
            </w:pPr>
            <w:r>
              <w:t xml:space="preserve">Periodo 1997-2015</w:t>
            </w:r>
          </w:p>
        </w:tc>
        <w:tc>
          <w:p>
            <w:pPr>
              <w:pStyle w:val="Compact"/>
              <w:jc w:val="right"/>
            </w:pPr>
            <w:r>
              <w:t xml:space="preserve">11</w:t>
            </w:r>
          </w:p>
        </w:tc>
        <w:tc>
          <w:p>
            <w:pPr>
              <w:pStyle w:val="Compact"/>
              <w:jc w:val="left"/>
            </w:pPr>
            <w:r>
              <w:t xml:space="preserve">Medea_2011</w:t>
            </w:r>
          </w:p>
        </w:tc>
        <w:tc>
          <w:p>
            <w:pPr>
              <w:pStyle w:val="Compact"/>
              <w:jc w:val="left"/>
            </w:pPr>
            <w:r>
              <w:t xml:space="preserve">Mujeres</w:t>
            </w:r>
          </w:p>
        </w:tc>
        <w:tc>
          <w:p>
            <w:pPr>
              <w:pStyle w:val="Compact"/>
              <w:jc w:val="right"/>
            </w:pPr>
            <w:r>
              <w:t xml:space="preserve">1.04</w:t>
            </w:r>
          </w:p>
        </w:tc>
        <w:tc>
          <w:p>
            <w:pPr>
              <w:pStyle w:val="Compact"/>
              <w:jc w:val="right"/>
            </w:pPr>
            <w:r>
              <w:t xml:space="preserve">0.75</w:t>
            </w:r>
          </w:p>
        </w:tc>
        <w:tc>
          <w:p>
            <w:pPr>
              <w:pStyle w:val="Compact"/>
              <w:jc w:val="right"/>
            </w:pPr>
            <w:r>
              <w:t xml:space="preserve">1.43</w:t>
            </w:r>
          </w:p>
        </w:tc>
        <w:tc>
          <w:p>
            <w:pPr>
              <w:pStyle w:val="Compact"/>
              <w:jc w:val="right"/>
            </w:pPr>
            <w:r>
              <w:t xml:space="preserve">446.19</w:t>
            </w:r>
          </w:p>
        </w:tc>
      </w:tr>
      <w:tr>
        <w:tc>
          <w:p>
            <w:pPr>
              <w:pStyle w:val="Compact"/>
              <w:jc w:val="left"/>
            </w:pPr>
            <w:r>
              <w:t xml:space="preserve">Periodo 1997-2015</w:t>
            </w:r>
          </w:p>
        </w:tc>
        <w:tc>
          <w:p>
            <w:pPr>
              <w:pStyle w:val="Compact"/>
              <w:jc w:val="right"/>
            </w:pPr>
            <w:r>
              <w:t xml:space="preserve">12</w:t>
            </w:r>
          </w:p>
        </w:tc>
        <w:tc>
          <w:p>
            <w:pPr>
              <w:pStyle w:val="Compact"/>
              <w:jc w:val="left"/>
            </w:pPr>
            <w:r>
              <w:t xml:space="preserve">Medea_2011</w:t>
            </w:r>
          </w:p>
        </w:tc>
        <w:tc>
          <w:p>
            <w:pPr>
              <w:pStyle w:val="Compact"/>
              <w:jc w:val="left"/>
            </w:pPr>
            <w:r>
              <w:t xml:space="preserve">Mujeres</w:t>
            </w:r>
          </w:p>
        </w:tc>
        <w:tc>
          <w:p>
            <w:pPr>
              <w:pStyle w:val="Compact"/>
              <w:jc w:val="right"/>
            </w:pPr>
            <w:r>
              <w:t xml:space="preserve">1.67</w:t>
            </w:r>
          </w:p>
        </w:tc>
        <w:tc>
          <w:p>
            <w:pPr>
              <w:pStyle w:val="Compact"/>
              <w:jc w:val="right"/>
            </w:pPr>
            <w:r>
              <w:t xml:space="preserve">1.12</w:t>
            </w:r>
          </w:p>
        </w:tc>
        <w:tc>
          <w:p>
            <w:pPr>
              <w:pStyle w:val="Compact"/>
              <w:jc w:val="right"/>
            </w:pPr>
            <w:r>
              <w:t xml:space="preserve">2.52</w:t>
            </w:r>
          </w:p>
        </w:tc>
        <w:tc>
          <w:p>
            <w:pPr>
              <w:pStyle w:val="Compact"/>
              <w:jc w:val="right"/>
            </w:pPr>
            <w:r>
              <w:t xml:space="preserve">446.63</w:t>
            </w:r>
          </w:p>
        </w:tc>
      </w:tr>
      <w:tr>
        <w:tc>
          <w:p>
            <w:pPr>
              <w:pStyle w:val="Compact"/>
              <w:jc w:val="left"/>
            </w:pPr>
            <w:r>
              <w:t xml:space="preserve">Periodo 1997-2015</w:t>
            </w:r>
          </w:p>
        </w:tc>
        <w:tc>
          <w:p>
            <w:pPr>
              <w:pStyle w:val="Compact"/>
              <w:jc w:val="right"/>
            </w:pPr>
            <w:r>
              <w:t xml:space="preserve">15</w:t>
            </w:r>
          </w:p>
        </w:tc>
        <w:tc>
          <w:p>
            <w:pPr>
              <w:pStyle w:val="Compact"/>
              <w:jc w:val="left"/>
            </w:pPr>
            <w:r>
              <w:t xml:space="preserve">Medea_2011</w:t>
            </w:r>
          </w:p>
        </w:tc>
        <w:tc>
          <w:p>
            <w:pPr>
              <w:pStyle w:val="Compact"/>
              <w:jc w:val="left"/>
            </w:pPr>
            <w:r>
              <w:t xml:space="preserve">Mujeres</w:t>
            </w:r>
          </w:p>
        </w:tc>
        <w:tc>
          <w:p>
            <w:pPr>
              <w:pStyle w:val="Compact"/>
              <w:jc w:val="right"/>
            </w:pPr>
            <w:r>
              <w:t xml:space="preserve">0.84</w:t>
            </w:r>
          </w:p>
        </w:tc>
        <w:tc>
          <w:p>
            <w:pPr>
              <w:pStyle w:val="Compact"/>
              <w:jc w:val="right"/>
            </w:pPr>
            <w:r>
              <w:t xml:space="preserve">0.61</w:t>
            </w:r>
          </w:p>
        </w:tc>
        <w:tc>
          <w:p>
            <w:pPr>
              <w:pStyle w:val="Compact"/>
              <w:jc w:val="right"/>
            </w:pPr>
            <w:r>
              <w:t xml:space="preserve">1.17</w:t>
            </w:r>
          </w:p>
        </w:tc>
        <w:tc>
          <w:p>
            <w:pPr>
              <w:pStyle w:val="Compact"/>
              <w:jc w:val="right"/>
            </w:pPr>
            <w:r>
              <w:t xml:space="preserve">559.79</w:t>
            </w:r>
          </w:p>
        </w:tc>
      </w:tr>
      <w:tr>
        <w:tc>
          <w:p>
            <w:pPr>
              <w:pStyle w:val="Compact"/>
              <w:jc w:val="left"/>
            </w:pPr>
            <w:r>
              <w:t xml:space="preserve">Periodo 1997-2015</w:t>
            </w:r>
          </w:p>
        </w:tc>
        <w:tc>
          <w:p>
            <w:pPr>
              <w:pStyle w:val="Compact"/>
              <w:jc w:val="right"/>
            </w:pPr>
            <w:r>
              <w:t xml:space="preserve">16</w:t>
            </w:r>
          </w:p>
        </w:tc>
        <w:tc>
          <w:p>
            <w:pPr>
              <w:pStyle w:val="Compact"/>
              <w:jc w:val="left"/>
            </w:pPr>
            <w:r>
              <w:t xml:space="preserve">Medea_2011</w:t>
            </w:r>
          </w:p>
        </w:tc>
        <w:tc>
          <w:p>
            <w:pPr>
              <w:pStyle w:val="Compact"/>
              <w:jc w:val="left"/>
            </w:pPr>
            <w:r>
              <w:t xml:space="preserve">Mujeres</w:t>
            </w:r>
          </w:p>
        </w:tc>
        <w:tc>
          <w:p>
            <w:pPr>
              <w:pStyle w:val="Compact"/>
              <w:jc w:val="right"/>
            </w:pPr>
            <w:r>
              <w:t xml:space="preserve">1.29</w:t>
            </w:r>
          </w:p>
        </w:tc>
        <w:tc>
          <w:p>
            <w:pPr>
              <w:pStyle w:val="Compact"/>
              <w:jc w:val="right"/>
            </w:pPr>
            <w:r>
              <w:t xml:space="preserve">1.00</w:t>
            </w:r>
          </w:p>
        </w:tc>
        <w:tc>
          <w:p>
            <w:pPr>
              <w:pStyle w:val="Compact"/>
              <w:jc w:val="right"/>
            </w:pPr>
            <w:r>
              <w:t xml:space="preserve">1.65</w:t>
            </w:r>
          </w:p>
        </w:tc>
        <w:tc>
          <w:p>
            <w:pPr>
              <w:pStyle w:val="Compact"/>
              <w:jc w:val="right"/>
            </w:pPr>
            <w:r>
              <w:t xml:space="preserve">649.09</w:t>
            </w:r>
          </w:p>
        </w:tc>
      </w:tr>
      <w:tr>
        <w:tc>
          <w:p>
            <w:pPr>
              <w:pStyle w:val="Compact"/>
              <w:jc w:val="left"/>
            </w:pPr>
            <w:r>
              <w:t xml:space="preserve">Periodo 1997-2015</w:t>
            </w:r>
          </w:p>
        </w:tc>
        <w:tc>
          <w:p>
            <w:pPr>
              <w:pStyle w:val="Compact"/>
              <w:jc w:val="right"/>
            </w:pPr>
            <w:r>
              <w:t xml:space="preserve">17</w:t>
            </w:r>
          </w:p>
        </w:tc>
        <w:tc>
          <w:p>
            <w:pPr>
              <w:pStyle w:val="Compact"/>
              <w:jc w:val="left"/>
            </w:pPr>
            <w:r>
              <w:t xml:space="preserve">Medea_2011</w:t>
            </w:r>
          </w:p>
        </w:tc>
        <w:tc>
          <w:p>
            <w:pPr>
              <w:pStyle w:val="Compact"/>
              <w:jc w:val="left"/>
            </w:pPr>
            <w:r>
              <w:t xml:space="preserve">Mujeres</w:t>
            </w:r>
          </w:p>
        </w:tc>
        <w:tc>
          <w:p>
            <w:pPr>
              <w:pStyle w:val="Compact"/>
              <w:jc w:val="right"/>
            </w:pPr>
            <w:r>
              <w:t xml:space="preserve">1.05</w:t>
            </w:r>
          </w:p>
        </w:tc>
        <w:tc>
          <w:p>
            <w:pPr>
              <w:pStyle w:val="Compact"/>
              <w:jc w:val="right"/>
            </w:pPr>
            <w:r>
              <w:t xml:space="preserve">0.82</w:t>
            </w:r>
          </w:p>
        </w:tc>
        <w:tc>
          <w:p>
            <w:pPr>
              <w:pStyle w:val="Compact"/>
              <w:jc w:val="right"/>
            </w:pPr>
            <w:r>
              <w:t xml:space="preserve">1.33</w:t>
            </w:r>
          </w:p>
        </w:tc>
        <w:tc>
          <w:p>
            <w:pPr>
              <w:pStyle w:val="Compact"/>
              <w:jc w:val="right"/>
            </w:pPr>
            <w:r>
              <w:t xml:space="preserve">670.88</w:t>
            </w:r>
          </w:p>
        </w:tc>
      </w:tr>
      <w:tr>
        <w:tc>
          <w:p>
            <w:pPr>
              <w:pStyle w:val="Compact"/>
              <w:jc w:val="left"/>
            </w:pPr>
            <w:r>
              <w:t xml:space="preserve">Periodo 1997-2015</w:t>
            </w:r>
          </w:p>
        </w:tc>
        <w:tc>
          <w:p>
            <w:pPr>
              <w:pStyle w:val="Compact"/>
              <w:jc w:val="right"/>
            </w:pPr>
            <w:r>
              <w:t xml:space="preserve">18</w:t>
            </w:r>
          </w:p>
        </w:tc>
        <w:tc>
          <w:p>
            <w:pPr>
              <w:pStyle w:val="Compact"/>
              <w:jc w:val="left"/>
            </w:pPr>
            <w:r>
              <w:t xml:space="preserve">Medea_2011</w:t>
            </w:r>
          </w:p>
        </w:tc>
        <w:tc>
          <w:p>
            <w:pPr>
              <w:pStyle w:val="Compact"/>
              <w:jc w:val="left"/>
            </w:pPr>
            <w:r>
              <w:t xml:space="preserve">Mujeres</w:t>
            </w:r>
          </w:p>
        </w:tc>
        <w:tc>
          <w:p>
            <w:pPr>
              <w:pStyle w:val="Compact"/>
              <w:jc w:val="right"/>
            </w:pPr>
            <w:r>
              <w:t xml:space="preserve">0.95</w:t>
            </w:r>
          </w:p>
        </w:tc>
        <w:tc>
          <w:p>
            <w:pPr>
              <w:pStyle w:val="Compact"/>
              <w:jc w:val="right"/>
            </w:pPr>
            <w:r>
              <w:t xml:space="preserve">0.61</w:t>
            </w:r>
          </w:p>
        </w:tc>
        <w:tc>
          <w:p>
            <w:pPr>
              <w:pStyle w:val="Compact"/>
              <w:jc w:val="right"/>
            </w:pPr>
            <w:r>
              <w:t xml:space="preserve">1.50</w:t>
            </w:r>
          </w:p>
        </w:tc>
        <w:tc>
          <w:p>
            <w:pPr>
              <w:pStyle w:val="Compact"/>
              <w:jc w:val="right"/>
            </w:pPr>
            <w:r>
              <w:t xml:space="preserve">385.12</w:t>
            </w:r>
          </w:p>
        </w:tc>
      </w:tr>
      <w:tr>
        <w:tc>
          <w:p>
            <w:pPr>
              <w:pStyle w:val="Compact"/>
              <w:jc w:val="left"/>
            </w:pPr>
            <w:r>
              <w:t xml:space="preserve">Periodo 1997-2015</w:t>
            </w:r>
          </w:p>
        </w:tc>
        <w:tc>
          <w:p>
            <w:pPr>
              <w:pStyle w:val="Compact"/>
              <w:jc w:val="right"/>
            </w:pPr>
            <w:r>
              <w:t xml:space="preserve">19</w:t>
            </w:r>
          </w:p>
        </w:tc>
        <w:tc>
          <w:p>
            <w:pPr>
              <w:pStyle w:val="Compact"/>
              <w:jc w:val="left"/>
            </w:pPr>
            <w:r>
              <w:t xml:space="preserve">Medea_2011</w:t>
            </w:r>
          </w:p>
        </w:tc>
        <w:tc>
          <w:p>
            <w:pPr>
              <w:pStyle w:val="Compact"/>
              <w:jc w:val="left"/>
            </w:pPr>
            <w:r>
              <w:t xml:space="preserve">Mujeres</w:t>
            </w:r>
          </w:p>
        </w:tc>
        <w:tc>
          <w:p>
            <w:pPr>
              <w:pStyle w:val="Compact"/>
              <w:jc w:val="right"/>
            </w:pPr>
            <w:r>
              <w:t xml:space="preserve">1.24</w:t>
            </w:r>
          </w:p>
        </w:tc>
        <w:tc>
          <w:p>
            <w:pPr>
              <w:pStyle w:val="Compact"/>
              <w:jc w:val="right"/>
            </w:pPr>
            <w:r>
              <w:t xml:space="preserve">0.71</w:t>
            </w:r>
          </w:p>
        </w:tc>
        <w:tc>
          <w:p>
            <w:pPr>
              <w:pStyle w:val="Compact"/>
              <w:jc w:val="right"/>
            </w:pPr>
            <w:r>
              <w:t xml:space="preserve">2.18</w:t>
            </w:r>
          </w:p>
        </w:tc>
        <w:tc>
          <w:p>
            <w:pPr>
              <w:pStyle w:val="Compact"/>
              <w:jc w:val="right"/>
            </w:pPr>
            <w:r>
              <w:t xml:space="preserve">314.89</w:t>
            </w:r>
          </w:p>
        </w:tc>
      </w:tr>
    </w:tbl>
    <w:p>
      <w:pPr>
        <w:pStyle w:val="BodyText"/>
      </w:pPr>
      <w:r>
        <w:t xml:space="preserve">Representamos en la figura nº 32 los riesgos relativos de las causas :</w:t>
      </w:r>
      <w:r>
        <w:t xml:space="preserve"> </w:t>
      </w:r>
      <w:r>
        <w:t xml:space="preserve">“</w:t>
      </w:r>
      <w:r>
        <w:t xml:space="preserve">02</w:t>
      </w:r>
      <w:r>
        <w:t xml:space="preserve">”</w:t>
      </w:r>
      <w:r>
        <w:t xml:space="preserve">,</w:t>
      </w:r>
      <w:r>
        <w:t xml:space="preserve">“</w:t>
      </w:r>
      <w:r>
        <w:t xml:space="preserve">05</w:t>
      </w:r>
      <w:r>
        <w:t xml:space="preserve">”</w:t>
      </w:r>
      <w:r>
        <w:t xml:space="preserve">,</w:t>
      </w:r>
      <w:r>
        <w:t xml:space="preserve">“</w:t>
      </w:r>
      <w:r>
        <w:t xml:space="preserve">07</w:t>
      </w:r>
      <w:r>
        <w:t xml:space="preserve">”</w:t>
      </w:r>
      <w:r>
        <w:t xml:space="preserve">,</w:t>
      </w:r>
      <w:r>
        <w:t xml:space="preserve">“</w:t>
      </w:r>
      <w:r>
        <w:t xml:space="preserve">11</w:t>
      </w:r>
      <w:r>
        <w:t xml:space="preserve">”</w:t>
      </w:r>
      <w:r>
        <w:t xml:space="preserve">,</w:t>
      </w:r>
      <w:r>
        <w:t xml:space="preserve">“</w:t>
      </w:r>
      <w:r>
        <w:t xml:space="preserve">12</w:t>
      </w:r>
      <w:r>
        <w:t xml:space="preserve">”</w:t>
      </w:r>
      <w:r>
        <w:t xml:space="preserve">,</w:t>
      </w:r>
      <w:r>
        <w:t xml:space="preserve">“</w:t>
      </w:r>
      <w:r>
        <w:t xml:space="preserve">15</w:t>
      </w:r>
      <w:r>
        <w:t xml:space="preserve">”</w:t>
      </w:r>
      <w:r>
        <w:t xml:space="preserve">,</w:t>
      </w:r>
      <w:r>
        <w:t xml:space="preserve">“</w:t>
      </w:r>
      <w:r>
        <w:t xml:space="preserve">16</w:t>
      </w:r>
      <w:r>
        <w:t xml:space="preserve">”</w:t>
      </w:r>
      <w:r>
        <w:t xml:space="preserve">,</w:t>
      </w:r>
      <w:r>
        <w:t xml:space="preserve">“</w:t>
      </w:r>
      <w:r>
        <w:t xml:space="preserve">17</w:t>
      </w:r>
      <w:r>
        <w:t xml:space="preserve">”</w:t>
      </w:r>
      <w:r>
        <w:t xml:space="preserve">,</w:t>
      </w:r>
      <w:r>
        <w:t xml:space="preserve">“</w:t>
      </w:r>
      <w:r>
        <w:t xml:space="preserve">18</w:t>
      </w:r>
      <w:r>
        <w:t xml:space="preserve">”</w:t>
      </w:r>
      <w:r>
        <w:t xml:space="preserve">,</w:t>
      </w:r>
      <w:r>
        <w:t xml:space="preserve">“</w:t>
      </w:r>
      <w:r>
        <w:t xml:space="preserve">19</w:t>
      </w:r>
      <w:r>
        <w:t xml:space="preserve">”</w:t>
      </w:r>
      <w:r>
        <w:t xml:space="preserve">. (Ver Anexo II)</w:t>
      </w:r>
    </w:p>
    <w:p>
      <w:pPr>
        <w:pStyle w:val="BodyText"/>
      </w:pPr>
      <w:r>
        <w:drawing>
          <wp:inline>
            <wp:extent cx="4620126" cy="3696101"/>
            <wp:effectExtent b="0" l="0" r="0" t="0"/>
            <wp:docPr descr="" title="" id="1" name="Picture"/>
            <a:graphic>
              <a:graphicData uri="http://schemas.openxmlformats.org/drawingml/2006/picture">
                <pic:pic>
                  <pic:nvPicPr>
                    <pic:cNvPr descr="articulo_proyecto_medea_RMS_final_4_files/figure-docx/unnamed-chunk-65-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bookmarkEnd w:id="79"/>
    <w:bookmarkStart w:id="82" w:name="Xd6f80e4538fbdf31a97d380a7f90215b5595abc"/>
    <w:p>
      <w:pPr>
        <w:pStyle w:val="Heading4"/>
      </w:pPr>
      <w:r>
        <w:t xml:space="preserve">privación Multidimensional. Censo de 2011</w:t>
      </w:r>
    </w:p>
    <w:p>
      <w:pPr>
        <w:pStyle w:val="FirstParagraph"/>
      </w:pPr>
      <w:r>
        <w:t xml:space="preserve">Definimos la fórmula del modelo y ejecutamos la función</w:t>
      </w:r>
      <w:r>
        <w:t xml:space="preserve"> </w:t>
      </w:r>
      <w:r>
        <w:t xml:space="preserve">“</w:t>
      </w:r>
      <w:r>
        <w:t xml:space="preserve">inla</w:t>
      </w:r>
      <w:r>
        <w:t xml:space="preserve">”</w:t>
      </w:r>
      <w:r>
        <w:t xml:space="preserve">.</w:t>
      </w:r>
    </w:p>
    <w:p>
      <w:pPr>
        <w:pStyle w:val="SourceCode"/>
      </w:pPr>
      <w:r>
        <w:rPr>
          <w:rStyle w:val="NormalTok"/>
        </w:rPr>
        <w:t xml:space="preserve">sdunif       </w:t>
      </w:r>
      <w:r>
        <w:rPr>
          <w:rStyle w:val="OtherTok"/>
        </w:rPr>
        <w:t xml:space="preserve">&lt;-</w:t>
      </w:r>
      <w:r>
        <w:rPr>
          <w:rStyle w:val="NormalTok"/>
        </w:rPr>
        <w:t xml:space="preserve"> </w:t>
      </w:r>
      <w:r>
        <w:rPr>
          <w:rStyle w:val="StringTok"/>
        </w:rPr>
        <w:t xml:space="preserve">"expression:</w:t>
      </w:r>
      <w:r>
        <w:br/>
      </w:r>
      <w:r>
        <w:rPr>
          <w:rStyle w:val="StringTok"/>
        </w:rPr>
        <w:t xml:space="preserve">  logdens=log(0.5)-log_precision/2;</w:t>
      </w:r>
      <w:r>
        <w:br/>
      </w:r>
      <w:r>
        <w:rPr>
          <w:rStyle w:val="StringTok"/>
        </w:rPr>
        <w:t xml:space="preserve">  return(logdens);"</w:t>
      </w:r>
      <w:r>
        <w:br/>
      </w:r>
      <w:r>
        <w:rPr>
          <w:rStyle w:val="NormalTok"/>
        </w:rPr>
        <w:t xml:space="preserve">formula2 </w:t>
      </w:r>
      <w:r>
        <w:rPr>
          <w:rStyle w:val="OtherTok"/>
        </w:rPr>
        <w:t xml:space="preserve">&lt;-</w:t>
      </w:r>
      <w:r>
        <w:rPr>
          <w:rStyle w:val="NormalTok"/>
        </w:rPr>
        <w:t xml:space="preserve"> O </w:t>
      </w:r>
      <w:r>
        <w:rPr>
          <w:rStyle w:val="SpecialCharTok"/>
        </w:rPr>
        <w:t xml:space="preserve">~</w:t>
      </w:r>
      <w:r>
        <w:rPr>
          <w:rStyle w:val="NormalTok"/>
        </w:rPr>
        <w:t xml:space="preserve"> </w:t>
      </w:r>
      <w:r>
        <w:rPr>
          <w:rStyle w:val="FunctionTok"/>
        </w:rPr>
        <w:t xml:space="preserve">f</w:t>
      </w:r>
      <w:r>
        <w:rPr>
          <w:rStyle w:val="NormalTok"/>
        </w:rPr>
        <w:t xml:space="preserve">(</w:t>
      </w:r>
      <w:r>
        <w:br/>
      </w:r>
      <w:r>
        <w:rPr>
          <w:rStyle w:val="NormalTok"/>
        </w:rPr>
        <w:t xml:space="preserve">  region.struct,</w:t>
      </w:r>
      <w:r>
        <w:br/>
      </w:r>
      <w:r>
        <w:rPr>
          <w:rStyle w:val="NormalTok"/>
        </w:rPr>
        <w:t xml:space="preserve">  </w:t>
      </w:r>
      <w:r>
        <w:rPr>
          <w:rStyle w:val="AttributeTok"/>
        </w:rPr>
        <w:t xml:space="preserve">model =</w:t>
      </w:r>
      <w:r>
        <w:rPr>
          <w:rStyle w:val="NormalTok"/>
        </w:rPr>
        <w:t xml:space="preserve"> </w:t>
      </w:r>
      <w:r>
        <w:rPr>
          <w:rStyle w:val="StringTok"/>
        </w:rPr>
        <w:t xml:space="preserve">"bym"</w:t>
      </w:r>
      <w:r>
        <w:rPr>
          <w:rStyle w:val="NormalTok"/>
        </w:rPr>
        <w:t xml:space="preserve">,</w:t>
      </w:r>
      <w:r>
        <w:br/>
      </w:r>
      <w:r>
        <w:rPr>
          <w:rStyle w:val="NormalTok"/>
        </w:rPr>
        <w:t xml:space="preserve">  </w:t>
      </w:r>
      <w:r>
        <w:rPr>
          <w:rStyle w:val="AttributeTok"/>
        </w:rPr>
        <w:t xml:space="preserve">graph =</w:t>
      </w:r>
      <w:r>
        <w:rPr>
          <w:rStyle w:val="NormalTok"/>
        </w:rPr>
        <w:t xml:space="preserve"> </w:t>
      </w:r>
      <w:r>
        <w:rPr>
          <w:rStyle w:val="StringTok"/>
        </w:rPr>
        <w:t xml:space="preserve">"Santander_nb.inla"</w:t>
      </w:r>
      <w:r>
        <w:rPr>
          <w:rStyle w:val="NormalTok"/>
        </w:rPr>
        <w:t xml:space="preserve">,</w:t>
      </w:r>
      <w:r>
        <w:br/>
      </w:r>
      <w:r>
        <w:rPr>
          <w:rStyle w:val="NormalTok"/>
        </w:rPr>
        <w:t xml:space="preserve">  </w:t>
      </w:r>
      <w:r>
        <w:rPr>
          <w:rStyle w:val="AttributeTok"/>
        </w:rPr>
        <w:t xml:space="preserve">hyper =</w:t>
      </w:r>
      <w:r>
        <w:rPr>
          <w:rStyle w:val="NormalTok"/>
        </w:rPr>
        <w:t xml:space="preserve"> </w:t>
      </w:r>
      <w:r>
        <w:rPr>
          <w:rStyle w:val="FunctionTok"/>
        </w:rPr>
        <w:t xml:space="preserve">list</w:t>
      </w:r>
      <w:r>
        <w:rPr>
          <w:rStyle w:val="NormalTok"/>
        </w:rPr>
        <w:t xml:space="preserve">(</w:t>
      </w:r>
      <w:r>
        <w:rPr>
          <w:rStyle w:val="AttributeTok"/>
        </w:rPr>
        <w:t xml:space="preserve">prec.unstruct =</w:t>
      </w:r>
      <w:r>
        <w:rPr>
          <w:rStyle w:val="NormalTok"/>
        </w:rPr>
        <w:t xml:space="preserve"> </w:t>
      </w:r>
      <w:r>
        <w:rPr>
          <w:rStyle w:val="FunctionTok"/>
        </w:rPr>
        <w:t xml:space="preserve">list</w:t>
      </w:r>
      <w:r>
        <w:rPr>
          <w:rStyle w:val="NormalTok"/>
        </w:rPr>
        <w:t xml:space="preserve">(</w:t>
      </w:r>
      <w:r>
        <w:rPr>
          <w:rStyle w:val="AttributeTok"/>
        </w:rPr>
        <w:t xml:space="preserve">prior =</w:t>
      </w:r>
      <w:r>
        <w:rPr>
          <w:rStyle w:val="NormalTok"/>
        </w:rPr>
        <w:t xml:space="preserve"> sdunif), </w:t>
      </w:r>
      <w:r>
        <w:rPr>
          <w:rStyle w:val="AttributeTok"/>
        </w:rPr>
        <w:t xml:space="preserve">prec.spatial =</w:t>
      </w:r>
      <w:r>
        <w:rPr>
          <w:rStyle w:val="NormalTok"/>
        </w:rPr>
        <w:t xml:space="preserve"> </w:t>
      </w:r>
      <w:r>
        <w:rPr>
          <w:rStyle w:val="FunctionTok"/>
        </w:rPr>
        <w:t xml:space="preserve">list</w:t>
      </w:r>
      <w:r>
        <w:rPr>
          <w:rStyle w:val="NormalTok"/>
        </w:rPr>
        <w:t xml:space="preserve">(</w:t>
      </w:r>
      <w:r>
        <w:rPr>
          <w:rStyle w:val="AttributeTok"/>
        </w:rPr>
        <w:t xml:space="preserve">prior =</w:t>
      </w:r>
      <w:r>
        <w:rPr>
          <w:rStyle w:val="NormalTok"/>
        </w:rPr>
        <w:t xml:space="preserve"> sdunif))) </w:t>
      </w:r>
      <w:r>
        <w:rPr>
          <w:rStyle w:val="SpecialCharTok"/>
        </w:rPr>
        <w:t xml:space="preserve">+</w:t>
      </w:r>
      <w:r>
        <w:rPr>
          <w:rStyle w:val="NormalTok"/>
        </w:rPr>
        <w:t xml:space="preserve"> Privacion</w:t>
      </w:r>
      <w:r>
        <w:br/>
      </w:r>
      <w:r>
        <w:rPr>
          <w:rStyle w:val="NormalTok"/>
        </w:rPr>
        <w:t xml:space="preserve">resultado.p1 </w:t>
      </w:r>
      <w:r>
        <w:rPr>
          <w:rStyle w:val="OtherTok"/>
        </w:rPr>
        <w:t xml:space="preserve">&lt;-</w:t>
      </w:r>
      <w:r>
        <w:rPr>
          <w:rStyle w:val="NormalTok"/>
        </w:rPr>
        <w:t xml:space="preserve"> </w:t>
      </w:r>
      <w:r>
        <w:rPr>
          <w:rStyle w:val="FunctionTok"/>
        </w:rPr>
        <w:t xml:space="preserve">inla</w:t>
      </w:r>
      <w:r>
        <w:rPr>
          <w:rStyle w:val="NormalTok"/>
        </w:rPr>
        <w:t xml:space="preserve">(formula2, </w:t>
      </w:r>
      <w:r>
        <w:rPr>
          <w:rStyle w:val="AttributeTok"/>
        </w:rPr>
        <w:t xml:space="preserve">family=</w:t>
      </w:r>
      <w:r>
        <w:rPr>
          <w:rStyle w:val="StringTok"/>
        </w:rPr>
        <w:t xml:space="preserve">"poisson"</w:t>
      </w:r>
      <w:r>
        <w:rPr>
          <w:rStyle w:val="NormalTok"/>
        </w:rPr>
        <w:t xml:space="preserve">,</w:t>
      </w:r>
      <w:r>
        <w:rPr>
          <w:rStyle w:val="AttributeTok"/>
        </w:rPr>
        <w:t xml:space="preserve">data=</w:t>
      </w:r>
      <w:r>
        <w:rPr>
          <w:rStyle w:val="NormalTok"/>
        </w:rPr>
        <w:t xml:space="preserve">Datos, </w:t>
      </w:r>
      <w:r>
        <w:rPr>
          <w:rStyle w:val="AttributeTok"/>
        </w:rPr>
        <w:t xml:space="preserve">E=</w:t>
      </w:r>
      <w:r>
        <w:rPr>
          <w:rStyle w:val="NormalTok"/>
        </w:rPr>
        <w:t xml:space="preserve">E,</w:t>
      </w:r>
      <w:r>
        <w:br/>
      </w:r>
      <w:r>
        <w:rPr>
          <w:rStyle w:val="AttributeTok"/>
        </w:rPr>
        <w:t xml:space="preserve">control.compute=</w:t>
      </w:r>
      <w:r>
        <w:rPr>
          <w:rStyle w:val="FunctionTok"/>
        </w:rPr>
        <w:t xml:space="preserve">list</w:t>
      </w:r>
      <w:r>
        <w:rPr>
          <w:rStyle w:val="NormalTok"/>
        </w:rPr>
        <w:t xml:space="preserve">(</w:t>
      </w:r>
      <w:r>
        <w:rPr>
          <w:rStyle w:val="AttributeTok"/>
        </w:rPr>
        <w:t xml:space="preserve">dic=</w:t>
      </w:r>
      <w:r>
        <w:rPr>
          <w:rStyle w:val="NormalTok"/>
        </w:rPr>
        <w:t xml:space="preserve">T, </w:t>
      </w:r>
      <w:r>
        <w:rPr>
          <w:rStyle w:val="AttributeTok"/>
        </w:rPr>
        <w:t xml:space="preserve">cpo=</w:t>
      </w:r>
      <w:r>
        <w:rPr>
          <w:rStyle w:val="ConstantTok"/>
        </w:rPr>
        <w:t xml:space="preserve">TRUE</w:t>
      </w:r>
      <w:r>
        <w:rPr>
          <w:rStyle w:val="NormalTok"/>
        </w:rPr>
        <w:t xml:space="preserve">),</w:t>
      </w:r>
      <w:r>
        <w:br/>
      </w:r>
      <w:r>
        <w:rPr>
          <w:rStyle w:val="AttributeTok"/>
        </w:rPr>
        <w:t xml:space="preserve">control.predictor=</w:t>
      </w:r>
      <w:r>
        <w:rPr>
          <w:rStyle w:val="FunctionTok"/>
        </w:rPr>
        <w:t xml:space="preserve">list</w:t>
      </w:r>
      <w:r>
        <w:rPr>
          <w:rStyle w:val="NormalTok"/>
        </w:rPr>
        <w:t xml:space="preserve">(</w:t>
      </w:r>
      <w:r>
        <w:rPr>
          <w:rStyle w:val="AttributeTok"/>
        </w:rPr>
        <w:t xml:space="preserve">compute=</w:t>
      </w:r>
      <w:r>
        <w:rPr>
          <w:rStyle w:val="ConstantTok"/>
        </w:rPr>
        <w:t xml:space="preserve">TRUE</w:t>
      </w:r>
      <w:r>
        <w:rPr>
          <w:rStyle w:val="NormalTok"/>
        </w:rPr>
        <w:t xml:space="preserve">, </w:t>
      </w:r>
      <w:r>
        <w:rPr>
          <w:rStyle w:val="AttributeTok"/>
        </w:rPr>
        <w:t xml:space="preserve">cdf=</w:t>
      </w:r>
      <w:r>
        <w:rPr>
          <w:rStyle w:val="FunctionTok"/>
        </w:rPr>
        <w:t xml:space="preserve">c</w:t>
      </w:r>
      <w:r>
        <w:rPr>
          <w:rStyle w:val="NormalTok"/>
        </w:rPr>
        <w:t xml:space="preserve">(</w:t>
      </w:r>
      <w:r>
        <w:rPr>
          <w:rStyle w:val="FunctionTok"/>
        </w:rPr>
        <w:t xml:space="preserve">log</w:t>
      </w:r>
      <w:r>
        <w:rPr>
          <w:rStyle w:val="NormalTok"/>
        </w:rPr>
        <w:t xml:space="preserve">(</w:t>
      </w:r>
      <w:r>
        <w:rPr>
          <w:rStyle w:val="DecValTok"/>
        </w:rPr>
        <w:t xml:space="preserve">1</w:t>
      </w:r>
      <w:r>
        <w:rPr>
          <w:rStyle w:val="NormalTok"/>
        </w:rPr>
        <w:t xml:space="preserve">))),</w:t>
      </w:r>
      <w:r>
        <w:br/>
      </w:r>
      <w:r>
        <w:rPr>
          <w:rStyle w:val="AttributeTok"/>
        </w:rPr>
        <w:t xml:space="preserve">control.inla=</w:t>
      </w:r>
      <w:r>
        <w:rPr>
          <w:rStyle w:val="FunctionTok"/>
        </w:rPr>
        <w:t xml:space="preserve">list</w:t>
      </w:r>
      <w:r>
        <w:rPr>
          <w:rStyle w:val="NormalTok"/>
        </w:rPr>
        <w:t xml:space="preserve">(</w:t>
      </w:r>
      <w:r>
        <w:rPr>
          <w:rStyle w:val="AttributeTok"/>
        </w:rPr>
        <w:t xml:space="preserve">strategy=</w:t>
      </w:r>
      <w:r>
        <w:rPr>
          <w:rStyle w:val="StringTok"/>
        </w:rPr>
        <w:t xml:space="preserve">"laplace"</w:t>
      </w:r>
      <w:r>
        <w:rPr>
          <w:rStyle w:val="NormalTok"/>
        </w:rPr>
        <w:t xml:space="preserve">, </w:t>
      </w:r>
      <w:r>
        <w:rPr>
          <w:rStyle w:val="AttributeTok"/>
        </w:rPr>
        <w:t xml:space="preserve">int.strategy=</w:t>
      </w:r>
      <w:r>
        <w:rPr>
          <w:rStyle w:val="StringTok"/>
        </w:rPr>
        <w:t xml:space="preserve">"grid"</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c("inla(formula = formula2, family = \"poisson\", data = Datos, E = E, </w:t>
      </w:r>
      <w:r>
        <w:br/>
      </w:r>
      <w:r>
        <w:rPr>
          <w:rStyle w:val="VerbatimChar"/>
        </w:rPr>
        <w:t xml:space="preserve">##    ", " control.compute = list(dic = T, cpo = TRUE), control.predictor = </w:t>
      </w:r>
      <w:r>
        <w:br/>
      </w:r>
      <w:r>
        <w:rPr>
          <w:rStyle w:val="VerbatimChar"/>
        </w:rPr>
        <w:t xml:space="preserve">##    list(compute = TRUE, ", " cdf = c(log(1))), control.inla = </w:t>
      </w:r>
      <w:r>
        <w:br/>
      </w:r>
      <w:r>
        <w:rPr>
          <w:rStyle w:val="VerbatimChar"/>
        </w:rPr>
        <w:t xml:space="preserve">##    list(strategy = \"laplace\", ", " int.strategy = \"grid\"))") </w:t>
      </w:r>
      <w:r>
        <w:br/>
      </w:r>
      <w:r>
        <w:rPr>
          <w:rStyle w:val="VerbatimChar"/>
        </w:rPr>
        <w:t xml:space="preserve">## Time used:</w:t>
      </w:r>
      <w:r>
        <w:br/>
      </w:r>
      <w:r>
        <w:rPr>
          <w:rStyle w:val="VerbatimChar"/>
        </w:rPr>
        <w:t xml:space="preserve">##     Pre = 0.329, Running = 5.06, Post = 0.051, Total = 5.44 </w:t>
      </w:r>
      <w:r>
        <w:br/>
      </w:r>
      <w:r>
        <w:rPr>
          <w:rStyle w:val="VerbatimChar"/>
        </w:rPr>
        <w:t xml:space="preserve">## Fixed effects:</w:t>
      </w:r>
      <w:r>
        <w:br/>
      </w:r>
      <w:r>
        <w:rPr>
          <w:rStyle w:val="VerbatimChar"/>
        </w:rPr>
        <w:t xml:space="preserve">##               mean    sd 0.025quant 0.5quant 0.975quant   mode kld</w:t>
      </w:r>
      <w:r>
        <w:br/>
      </w:r>
      <w:r>
        <w:rPr>
          <w:rStyle w:val="VerbatimChar"/>
        </w:rPr>
        <w:t xml:space="preserve">## (Intercept) -0.042 0.014     -0.070   -0.042     -0.015 -0.042   0</w:t>
      </w:r>
      <w:r>
        <w:br/>
      </w:r>
      <w:r>
        <w:rPr>
          <w:rStyle w:val="VerbatimChar"/>
        </w:rPr>
        <w:t xml:space="preserve">## Privacion    0.032 0.014      0.004    0.032      0.060  0.032   0</w:t>
      </w:r>
      <w:r>
        <w:br/>
      </w:r>
      <w:r>
        <w:rPr>
          <w:rStyle w:val="VerbatimChar"/>
        </w:rPr>
        <w:t xml:space="preserve">## </w:t>
      </w:r>
      <w:r>
        <w:br/>
      </w:r>
      <w:r>
        <w:rPr>
          <w:rStyle w:val="VerbatimChar"/>
        </w:rPr>
        <w:t xml:space="preserve">## Random effects:</w:t>
      </w:r>
      <w:r>
        <w:br/>
      </w:r>
      <w:r>
        <w:rPr>
          <w:rStyle w:val="VerbatimChar"/>
        </w:rPr>
        <w:t xml:space="preserve">##   Name     Model</w:t>
      </w:r>
      <w:r>
        <w:br/>
      </w:r>
      <w:r>
        <w:rPr>
          <w:rStyle w:val="VerbatimChar"/>
        </w:rPr>
        <w:t xml:space="preserve">##     region.struct BYM model</w:t>
      </w:r>
      <w:r>
        <w:br/>
      </w:r>
      <w:r>
        <w:rPr>
          <w:rStyle w:val="VerbatimChar"/>
        </w:rPr>
        <w:t xml:space="preserve">## </w:t>
      </w:r>
      <w:r>
        <w:br/>
      </w:r>
      <w:r>
        <w:rPr>
          <w:rStyle w:val="VerbatimChar"/>
        </w:rPr>
        <w:t xml:space="preserve">## Model hyperparameters:</w:t>
      </w:r>
      <w:r>
        <w:br/>
      </w:r>
      <w:r>
        <w:rPr>
          <w:rStyle w:val="VerbatimChar"/>
        </w:rPr>
        <w:t xml:space="preserve">##                                                  mean    sd 0.025quant 0.5quant</w:t>
      </w:r>
      <w:r>
        <w:br/>
      </w:r>
      <w:r>
        <w:rPr>
          <w:rStyle w:val="VerbatimChar"/>
        </w:rPr>
        <w:t xml:space="preserve">## Precision for region.struct (iid component)     75.32 26.57      35.93    71.08</w:t>
      </w:r>
      <w:r>
        <w:br/>
      </w:r>
      <w:r>
        <w:rPr>
          <w:rStyle w:val="VerbatimChar"/>
        </w:rPr>
        <w:t xml:space="preserve">## Precision for region.struct (spatial component) 23.98 10.31       9.87    22.01</w:t>
      </w:r>
      <w:r>
        <w:br/>
      </w:r>
      <w:r>
        <w:rPr>
          <w:rStyle w:val="VerbatimChar"/>
        </w:rPr>
        <w:t xml:space="preserve">##                                                 0.975quant  mode</w:t>
      </w:r>
      <w:r>
        <w:br/>
      </w:r>
      <w:r>
        <w:rPr>
          <w:rStyle w:val="VerbatimChar"/>
        </w:rPr>
        <w:t xml:space="preserve">## Precision for region.struct (iid component)         139.60 63.38</w:t>
      </w:r>
      <w:r>
        <w:br/>
      </w:r>
      <w:r>
        <w:rPr>
          <w:rStyle w:val="VerbatimChar"/>
        </w:rPr>
        <w:t xml:space="preserve">## Precision for region.struct (spatial component)      49.78 18.60</w:t>
      </w:r>
      <w:r>
        <w:br/>
      </w:r>
      <w:r>
        <w:rPr>
          <w:rStyle w:val="VerbatimChar"/>
        </w:rPr>
        <w:t xml:space="preserve">## </w:t>
      </w:r>
      <w:r>
        <w:br/>
      </w:r>
      <w:r>
        <w:rPr>
          <w:rStyle w:val="VerbatimChar"/>
        </w:rPr>
        <w:t xml:space="preserve">## Expected number of effective parameters(stdev): 88.08(4.17)</w:t>
      </w:r>
      <w:r>
        <w:br/>
      </w:r>
      <w:r>
        <w:rPr>
          <w:rStyle w:val="VerbatimChar"/>
        </w:rPr>
        <w:t xml:space="preserve">## Number of equivalent replicates : 1.41 </w:t>
      </w:r>
      <w:r>
        <w:br/>
      </w:r>
      <w:r>
        <w:rPr>
          <w:rStyle w:val="VerbatimChar"/>
        </w:rPr>
        <w:t xml:space="preserve">## </w:t>
      </w:r>
      <w:r>
        <w:br/>
      </w:r>
      <w:r>
        <w:rPr>
          <w:rStyle w:val="VerbatimChar"/>
        </w:rPr>
        <w:t xml:space="preserve">## Deviance Information Criterion (DIC) ...............: 1001.91</w:t>
      </w:r>
      <w:r>
        <w:br/>
      </w:r>
      <w:r>
        <w:rPr>
          <w:rStyle w:val="VerbatimChar"/>
        </w:rPr>
        <w:t xml:space="preserve">## Deviance Information Criterion (DIC, saturated) ....: 203.09</w:t>
      </w:r>
      <w:r>
        <w:br/>
      </w:r>
      <w:r>
        <w:rPr>
          <w:rStyle w:val="VerbatimChar"/>
        </w:rPr>
        <w:t xml:space="preserve">## Effective number of parameters .....................: 88.56</w:t>
      </w:r>
      <w:r>
        <w:br/>
      </w:r>
      <w:r>
        <w:rPr>
          <w:rStyle w:val="VerbatimChar"/>
        </w:rPr>
        <w:t xml:space="preserve">## </w:t>
      </w:r>
      <w:r>
        <w:br/>
      </w:r>
      <w:r>
        <w:rPr>
          <w:rStyle w:val="VerbatimChar"/>
        </w:rPr>
        <w:t xml:space="preserve">## Marginal log-Likelihood:  -531.59 </w:t>
      </w:r>
      <w:r>
        <w:br/>
      </w:r>
      <w:r>
        <w:rPr>
          <w:rStyle w:val="VerbatimChar"/>
        </w:rPr>
        <w:t xml:space="preserve">## CPO and PIT are computed</w:t>
      </w:r>
      <w:r>
        <w:br/>
      </w:r>
      <w:r>
        <w:rPr>
          <w:rStyle w:val="VerbatimChar"/>
        </w:rPr>
        <w:t xml:space="preserve">## </w:t>
      </w:r>
      <w:r>
        <w:br/>
      </w:r>
      <w:r>
        <w:rPr>
          <w:rStyle w:val="VerbatimChar"/>
        </w:rPr>
        <w:t xml:space="preserve">## Posterior marginals for the linear predictor and</w:t>
      </w:r>
      <w:r>
        <w:br/>
      </w:r>
      <w:r>
        <w:rPr>
          <w:rStyle w:val="VerbatimChar"/>
        </w:rPr>
        <w:t xml:space="preserve">##  the fitted values are computed</w:t>
      </w:r>
    </w:p>
    <w:p>
      <w:pPr>
        <w:pStyle w:val="SourceCode"/>
      </w:pPr>
      <w:r>
        <w:rPr>
          <w:rStyle w:val="VerbatimChar"/>
        </w:rPr>
        <w:t xml:space="preserve">##    Min. 1st Qu.  Median    Mean 3rd Qu.    Max. </w:t>
      </w:r>
      <w:r>
        <w:br/>
      </w:r>
      <w:r>
        <w:rPr>
          <w:rStyle w:val="VerbatimChar"/>
        </w:rPr>
        <w:t xml:space="preserve">##   70.95   87.57   92.94   97.35  104.44  195.41</w:t>
      </w:r>
    </w:p>
    <w:p>
      <w:pPr>
        <w:pStyle w:val="SourceCode"/>
      </w:pPr>
      <w:r>
        <w:rPr>
          <w:rStyle w:val="CommentTok"/>
        </w:rPr>
        <w:t xml:space="preserve"># Creamos las funciones "RR", "esperanza" y "cuantiles" que nos permitirán de ahora en adelante calcular la distribución a posteriori del RR, su media a posteriori e intervalo de credibilidad al 95%, respectivamente.</w:t>
      </w:r>
      <w:r>
        <w:br/>
      </w:r>
      <w:r>
        <w:br/>
      </w:r>
      <w:r>
        <w:br/>
      </w:r>
      <w:r>
        <w:rPr>
          <w:rStyle w:val="CommentTok"/>
        </w:rPr>
        <w:t xml:space="preserve">#RR &lt;- function(x){inla.marginal.transform(function(y) exp(y), x)}</w:t>
      </w:r>
      <w:r>
        <w:br/>
      </w:r>
      <w:r>
        <w:rPr>
          <w:rStyle w:val="NormalTok"/>
        </w:rPr>
        <w:t xml:space="preserve">esperanza </w:t>
      </w:r>
      <w:r>
        <w:rPr>
          <w:rStyle w:val="OtherTok"/>
        </w:rPr>
        <w:t xml:space="preserve">&lt;-</w:t>
      </w:r>
      <w:r>
        <w:rPr>
          <w:rStyle w:val="NormalTok"/>
        </w:rPr>
        <w:t xml:space="preserve"> </w:t>
      </w:r>
      <w:r>
        <w:rPr>
          <w:rStyle w:val="ControlFlowTok"/>
        </w:rPr>
        <w:t xml:space="preserve">function</w:t>
      </w:r>
      <w:r>
        <w:rPr>
          <w:rStyle w:val="NormalTok"/>
        </w:rPr>
        <w:t xml:space="preserve">(x){</w:t>
      </w:r>
      <w:r>
        <w:rPr>
          <w:rStyle w:val="FunctionTok"/>
        </w:rPr>
        <w:t xml:space="preserve">inla.emarginal</w:t>
      </w:r>
      <w:r>
        <w:rPr>
          <w:rStyle w:val="NormalTok"/>
        </w:rPr>
        <w:t xml:space="preserve">(</w:t>
      </w:r>
      <w:r>
        <w:rPr>
          <w:rStyle w:val="ControlFlowTok"/>
        </w:rPr>
        <w:t xml:space="preserve">function</w:t>
      </w:r>
      <w:r>
        <w:rPr>
          <w:rStyle w:val="NormalTok"/>
        </w:rPr>
        <w:t xml:space="preserve">(y) y, x)}</w:t>
      </w:r>
      <w:r>
        <w:br/>
      </w:r>
      <w:r>
        <w:rPr>
          <w:rStyle w:val="NormalTok"/>
        </w:rPr>
        <w:t xml:space="preserve">cuantiles </w:t>
      </w:r>
      <w:r>
        <w:rPr>
          <w:rStyle w:val="OtherTok"/>
        </w:rPr>
        <w:t xml:space="preserve">&lt;-</w:t>
      </w:r>
      <w:r>
        <w:rPr>
          <w:rStyle w:val="NormalTok"/>
        </w:rPr>
        <w:t xml:space="preserve"> </w:t>
      </w:r>
      <w:r>
        <w:rPr>
          <w:rStyle w:val="ControlFlowTok"/>
        </w:rPr>
        <w:t xml:space="preserve">function</w:t>
      </w:r>
      <w:r>
        <w:rPr>
          <w:rStyle w:val="NormalTok"/>
        </w:rPr>
        <w:t xml:space="preserve">(x){</w:t>
      </w:r>
      <w:r>
        <w:rPr>
          <w:rStyle w:val="FunctionTok"/>
        </w:rPr>
        <w:t xml:space="preserve">inla.qmarginal</w:t>
      </w:r>
      <w:r>
        <w:rPr>
          <w:rStyle w:val="NormalTok"/>
        </w:rPr>
        <w:t xml:space="preserve">(</w:t>
      </w:r>
      <w:r>
        <w:rPr>
          <w:rStyle w:val="Function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 x)}</w:t>
      </w:r>
      <w:r>
        <w:br/>
      </w:r>
      <w:r>
        <w:rPr>
          <w:rStyle w:val="CommentTok"/>
        </w:rPr>
        <w:t xml:space="preserve"># El RR asociado a la privación en el periodo lo obtenemos mediante la siguiente sintaxis:</w:t>
      </w:r>
      <w:r>
        <w:br/>
      </w:r>
      <w:r>
        <w:br/>
      </w:r>
      <w:r>
        <w:rPr>
          <w:rStyle w:val="NormalTok"/>
        </w:rPr>
        <w:t xml:space="preserve">marginal.beta2 </w:t>
      </w:r>
      <w:r>
        <w:rPr>
          <w:rStyle w:val="OtherTok"/>
        </w:rPr>
        <w:t xml:space="preserve">&lt;-</w:t>
      </w:r>
      <w:r>
        <w:rPr>
          <w:rStyle w:val="NormalTok"/>
        </w:rPr>
        <w:t xml:space="preserve"> resultado.p1</w:t>
      </w:r>
      <w:r>
        <w:rPr>
          <w:rStyle w:val="SpecialCharTok"/>
        </w:rPr>
        <w:t xml:space="preserve">$</w:t>
      </w:r>
      <w:r>
        <w:rPr>
          <w:rStyle w:val="NormalTok"/>
        </w:rPr>
        <w:t xml:space="preserve">marginals.fixed</w:t>
      </w:r>
      <w:r>
        <w:rPr>
          <w:rStyle w:val="SpecialCharTok"/>
        </w:rPr>
        <w:t xml:space="preserve">$</w:t>
      </w:r>
      <w:r>
        <w:rPr>
          <w:rStyle w:val="NormalTok"/>
        </w:rPr>
        <w:t xml:space="preserve">Privacion</w:t>
      </w:r>
      <w:r>
        <w:br/>
      </w:r>
      <w:r>
        <w:br/>
      </w:r>
      <w:r>
        <w:br/>
      </w:r>
      <w:r>
        <w:rPr>
          <w:rStyle w:val="CommentTok"/>
        </w:rPr>
        <w:t xml:space="preserve"># Calculamos la media a posteriori del RR:</w:t>
      </w:r>
      <w:r>
        <w:br/>
      </w:r>
      <w:r>
        <w:br/>
      </w:r>
      <w:r>
        <w:rPr>
          <w:rStyle w:val="NormalTok"/>
        </w:rPr>
        <w:t xml:space="preserve">E.rr.p1 </w:t>
      </w:r>
      <w:r>
        <w:rPr>
          <w:rStyle w:val="OtherTok"/>
        </w:rPr>
        <w:t xml:space="preserve">&lt;-</w:t>
      </w:r>
      <w:r>
        <w:rPr>
          <w:rStyle w:val="NormalTok"/>
        </w:rPr>
        <w:t xml:space="preserve"> </w:t>
      </w:r>
      <w:r>
        <w:rPr>
          <w:rStyle w:val="FunctionTok"/>
        </w:rPr>
        <w:t xml:space="preserve">esperanza</w:t>
      </w:r>
      <w:r>
        <w:rPr>
          <w:rStyle w:val="NormalTok"/>
        </w:rPr>
        <w:t xml:space="preserve">(marginal.beta2)</w:t>
      </w:r>
      <w:r>
        <w:br/>
      </w:r>
      <w:r>
        <w:br/>
      </w:r>
      <w:r>
        <w:rPr>
          <w:rStyle w:val="CommentTok"/>
        </w:rPr>
        <w:t xml:space="preserve"># Calculamos el intervalo de credibilidad al 95%:</w:t>
      </w:r>
      <w:r>
        <w:br/>
      </w:r>
      <w:r>
        <w:br/>
      </w:r>
      <w:r>
        <w:rPr>
          <w:rStyle w:val="NormalTok"/>
        </w:rPr>
        <w:t xml:space="preserve">q.rr.p1 </w:t>
      </w:r>
      <w:r>
        <w:rPr>
          <w:rStyle w:val="OtherTok"/>
        </w:rPr>
        <w:t xml:space="preserve">&lt;-</w:t>
      </w:r>
      <w:r>
        <w:rPr>
          <w:rStyle w:val="NormalTok"/>
        </w:rPr>
        <w:t xml:space="preserve"> </w:t>
      </w:r>
      <w:r>
        <w:rPr>
          <w:rStyle w:val="FunctionTok"/>
        </w:rPr>
        <w:t xml:space="preserve">cuantiles</w:t>
      </w:r>
      <w:r>
        <w:rPr>
          <w:rStyle w:val="NormalTok"/>
        </w:rPr>
        <w:t xml:space="preserve">(marginal.beta2)</w:t>
      </w:r>
    </w:p>
    <w:p>
      <w:pPr>
        <w:pStyle w:val="FirstParagraph"/>
      </w:pPr>
      <w:r>
        <w:t xml:space="preserve">Representamos gráficamente la función de densidad de la distribución a posteriori del Riesgo Relativo (RR) (Figura nº 33).</w:t>
      </w:r>
    </w:p>
    <w:p>
      <w:pPr>
        <w:pStyle w:val="SourceCode"/>
      </w:pPr>
      <w:r>
        <w:rPr>
          <w:rStyle w:val="VerbatimChar"/>
        </w:rPr>
        <w:t xml:space="preserve">##   Length Class  Mode   </w:t>
      </w:r>
      <w:r>
        <w:br/>
      </w:r>
      <w:r>
        <w:rPr>
          <w:rStyle w:val="VerbatimChar"/>
        </w:rPr>
        <w:t xml:space="preserve">## x 1095   -none- numeric</w:t>
      </w:r>
      <w:r>
        <w:br/>
      </w:r>
      <w:r>
        <w:rPr>
          <w:rStyle w:val="VerbatimChar"/>
        </w:rPr>
        <w:t xml:space="preserve">## y 1095   -none- numeric</w:t>
      </w:r>
    </w:p>
    <w:p>
      <w:pPr>
        <w:pStyle w:val="FirstParagraph"/>
      </w:pPr>
      <w:r>
        <w:drawing>
          <wp:inline>
            <wp:extent cx="4620126" cy="3696101"/>
            <wp:effectExtent b="0" l="0" r="0" t="0"/>
            <wp:docPr descr="" title="" id="1" name="Picture"/>
            <a:graphic>
              <a:graphicData uri="http://schemas.openxmlformats.org/drawingml/2006/picture">
                <pic:pic>
                  <pic:nvPicPr>
                    <pic:cNvPr descr="articulo_proyecto_medea_RMS_final_4_files/figure-docx/unnamed-chunk-71-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Los resultados finales están en la tabla nº 4</w:t>
      </w:r>
    </w:p>
    <w:p>
      <w:pPr>
        <w:pStyle w:val="SourceCode"/>
      </w:pPr>
      <w:r>
        <w:rPr>
          <w:rStyle w:val="VerbatimChar"/>
        </w:rPr>
        <w:t xml:space="preserve">##             Periodo Causa                Indice  Genero    media perc.2.5.</w:t>
      </w:r>
      <w:r>
        <w:br/>
      </w:r>
      <w:r>
        <w:rPr>
          <w:rStyle w:val="VerbatimChar"/>
        </w:rPr>
        <w:t xml:space="preserve">## 1 Periodo 1997-2015    22 Multidimensional_2011 Mujeres 1.032377  1.003604</w:t>
      </w:r>
      <w:r>
        <w:br/>
      </w:r>
      <w:r>
        <w:rPr>
          <w:rStyle w:val="VerbatimChar"/>
        </w:rPr>
        <w:t xml:space="preserve">##   perc.97.5.      DIC</w:t>
      </w:r>
      <w:r>
        <w:br/>
      </w:r>
      <w:r>
        <w:rPr>
          <w:rStyle w:val="VerbatimChar"/>
        </w:rPr>
        <w:t xml:space="preserve">## 1   1.062076 1001.906</w:t>
      </w:r>
    </w:p>
    <w:p>
      <w:pPr>
        <w:pStyle w:val="TableCaption"/>
      </w:pPr>
      <w:r>
        <w:t xml:space="preserve">Tabla nº4.Tabla Resultados Mujeres.Indicador Multidimensional</w:t>
      </w:r>
    </w:p>
    <w:tbl>
      <w:tblPr>
        <w:tblStyle w:val="Table"/>
        <w:tblW w:type="pct" w:w="0.0"/>
        <w:tblLook w:firstRow="1" w:lastRow="0" w:firstColumn="0" w:lastColumn="0" w:noHBand="0" w:noVBand="0" w:val="0020"/>
        <w:tblCaption w:val="Tabla nº4.Tabla Resultados Mujeres.Indicador Multidimensional"/>
      </w:tblPr>
      <w:tblGrid/>
      <w:tr>
        <w:tc>
          <w:p>
            <w:pPr>
              <w:pStyle w:val="Compact"/>
              <w:jc w:val="left"/>
            </w:pPr>
            <w:r>
              <w:t xml:space="preserve">Periodo</w:t>
            </w:r>
          </w:p>
        </w:tc>
        <w:tc>
          <w:p>
            <w:pPr>
              <w:pStyle w:val="Compact"/>
              <w:jc w:val="right"/>
            </w:pPr>
            <w:r>
              <w:t xml:space="preserve">Causa</w:t>
            </w:r>
          </w:p>
        </w:tc>
        <w:tc>
          <w:p>
            <w:pPr>
              <w:pStyle w:val="Compact"/>
              <w:jc w:val="left"/>
            </w:pPr>
            <w:r>
              <w:t xml:space="preserve">Indice</w:t>
            </w:r>
          </w:p>
        </w:tc>
        <w:tc>
          <w:p>
            <w:pPr>
              <w:pStyle w:val="Compact"/>
              <w:jc w:val="left"/>
            </w:pPr>
            <w:r>
              <w:t xml:space="preserve">Genero</w:t>
            </w:r>
          </w:p>
        </w:tc>
        <w:tc>
          <w:p>
            <w:pPr>
              <w:pStyle w:val="Compact"/>
              <w:jc w:val="right"/>
            </w:pPr>
            <w:r>
              <w:t xml:space="preserve">media</w:t>
            </w:r>
          </w:p>
        </w:tc>
        <w:tc>
          <w:p>
            <w:pPr>
              <w:pStyle w:val="Compact"/>
              <w:jc w:val="right"/>
            </w:pPr>
            <w:r>
              <w:t xml:space="preserve">perc.2.5.</w:t>
            </w:r>
          </w:p>
        </w:tc>
        <w:tc>
          <w:p>
            <w:pPr>
              <w:pStyle w:val="Compact"/>
              <w:jc w:val="right"/>
            </w:pPr>
            <w:r>
              <w:t xml:space="preserve">perc.97.5.</w:t>
            </w:r>
          </w:p>
        </w:tc>
        <w:tc>
          <w:p>
            <w:pPr>
              <w:pStyle w:val="Compact"/>
              <w:jc w:val="right"/>
            </w:pPr>
            <w:r>
              <w:t xml:space="preserve">DIC</w:t>
            </w:r>
          </w:p>
        </w:tc>
      </w:tr>
      <w:tr>
        <w:tc>
          <w:p>
            <w:pPr>
              <w:pStyle w:val="Compact"/>
              <w:jc w:val="left"/>
            </w:pPr>
            <w:r>
              <w:t xml:space="preserve">Periodo 1997-2015</w:t>
            </w:r>
          </w:p>
        </w:tc>
        <w:tc>
          <w:p>
            <w:pPr>
              <w:pStyle w:val="Compact"/>
              <w:jc w:val="right"/>
            </w:pPr>
            <w:r>
              <w:t xml:space="preserve">22</w:t>
            </w:r>
          </w:p>
        </w:tc>
        <w:tc>
          <w:p>
            <w:pPr>
              <w:pStyle w:val="Compact"/>
              <w:jc w:val="left"/>
            </w:pPr>
            <w:r>
              <w:t xml:space="preserve">Multidimensional_2011</w:t>
            </w:r>
          </w:p>
        </w:tc>
        <w:tc>
          <w:p>
            <w:pPr>
              <w:pStyle w:val="Compact"/>
              <w:jc w:val="left"/>
            </w:pPr>
            <w:r>
              <w:t xml:space="preserve">Mujeres</w:t>
            </w:r>
          </w:p>
        </w:tc>
        <w:tc>
          <w:p>
            <w:pPr>
              <w:pStyle w:val="Compact"/>
              <w:jc w:val="right"/>
            </w:pPr>
            <w:r>
              <w:t xml:space="preserve">1.03</w:t>
            </w:r>
          </w:p>
        </w:tc>
        <w:tc>
          <w:p>
            <w:pPr>
              <w:pStyle w:val="Compact"/>
              <w:jc w:val="right"/>
            </w:pPr>
            <w:r>
              <w:t xml:space="preserve">1.00</w:t>
            </w:r>
          </w:p>
        </w:tc>
        <w:tc>
          <w:p>
            <w:pPr>
              <w:pStyle w:val="Compact"/>
              <w:jc w:val="right"/>
            </w:pPr>
            <w:r>
              <w:t xml:space="preserve">1.06</w:t>
            </w:r>
          </w:p>
        </w:tc>
        <w:tc>
          <w:p>
            <w:pPr>
              <w:pStyle w:val="Compact"/>
              <w:jc w:val="right"/>
            </w:pPr>
            <w:r>
              <w:t xml:space="preserve">1001.91</w:t>
            </w:r>
          </w:p>
        </w:tc>
      </w:tr>
      <w:tr>
        <w:tc>
          <w:p>
            <w:pPr>
              <w:pStyle w:val="Compact"/>
              <w:jc w:val="left"/>
            </w:pPr>
            <w:r>
              <w:t xml:space="preserve">Periodo 1997-2015</w:t>
            </w:r>
          </w:p>
        </w:tc>
        <w:tc>
          <w:p>
            <w:pPr>
              <w:pStyle w:val="Compact"/>
              <w:jc w:val="right"/>
            </w:pPr>
            <w:r>
              <w:t xml:space="preserve">2</w:t>
            </w:r>
          </w:p>
        </w:tc>
        <w:tc>
          <w:p>
            <w:pPr>
              <w:pStyle w:val="Compact"/>
              <w:jc w:val="left"/>
            </w:pPr>
            <w:r>
              <w:t xml:space="preserve">ICANE_2011</w:t>
            </w:r>
          </w:p>
        </w:tc>
        <w:tc>
          <w:p>
            <w:pPr>
              <w:pStyle w:val="Compact"/>
              <w:jc w:val="left"/>
            </w:pPr>
            <w:r>
              <w:t xml:space="preserve">Mujeres</w:t>
            </w:r>
          </w:p>
        </w:tc>
        <w:tc>
          <w:p>
            <w:pPr>
              <w:pStyle w:val="Compact"/>
              <w:jc w:val="right"/>
            </w:pPr>
            <w:r>
              <w:t xml:space="preserve">0.85</w:t>
            </w:r>
          </w:p>
        </w:tc>
        <w:tc>
          <w:p>
            <w:pPr>
              <w:pStyle w:val="Compact"/>
              <w:jc w:val="right"/>
            </w:pPr>
            <w:r>
              <w:t xml:space="preserve">0.74</w:t>
            </w:r>
          </w:p>
        </w:tc>
        <w:tc>
          <w:p>
            <w:pPr>
              <w:pStyle w:val="Compact"/>
              <w:jc w:val="right"/>
            </w:pPr>
            <w:r>
              <w:t xml:space="preserve">0.98</w:t>
            </w:r>
          </w:p>
        </w:tc>
        <w:tc>
          <w:p>
            <w:pPr>
              <w:pStyle w:val="Compact"/>
              <w:jc w:val="right"/>
            </w:pPr>
            <w:r>
              <w:t xml:space="preserve">366.73</w:t>
            </w:r>
          </w:p>
        </w:tc>
      </w:tr>
      <w:tr>
        <w:tc>
          <w:p>
            <w:pPr>
              <w:pStyle w:val="Compact"/>
              <w:jc w:val="left"/>
            </w:pPr>
            <w:r>
              <w:t xml:space="preserve">Periodo 1997-2015</w:t>
            </w:r>
          </w:p>
        </w:tc>
        <w:tc>
          <w:p>
            <w:pPr>
              <w:pStyle w:val="Compact"/>
              <w:jc w:val="right"/>
            </w:pPr>
            <w:r>
              <w:t xml:space="preserve">5</w:t>
            </w:r>
          </w:p>
        </w:tc>
        <w:tc>
          <w:p>
            <w:pPr>
              <w:pStyle w:val="Compact"/>
              <w:jc w:val="left"/>
            </w:pPr>
            <w:r>
              <w:t xml:space="preserve">ICANE_2011</w:t>
            </w:r>
          </w:p>
        </w:tc>
        <w:tc>
          <w:p>
            <w:pPr>
              <w:pStyle w:val="Compact"/>
              <w:jc w:val="left"/>
            </w:pPr>
            <w:r>
              <w:t xml:space="preserve">Mujeres</w:t>
            </w:r>
          </w:p>
        </w:tc>
        <w:tc>
          <w:p>
            <w:pPr>
              <w:pStyle w:val="Compact"/>
              <w:jc w:val="right"/>
            </w:pPr>
            <w:r>
              <w:t xml:space="preserve">1.07</w:t>
            </w:r>
          </w:p>
        </w:tc>
        <w:tc>
          <w:p>
            <w:pPr>
              <w:pStyle w:val="Compact"/>
              <w:jc w:val="right"/>
            </w:pPr>
            <w:r>
              <w:t xml:space="preserve">0.98</w:t>
            </w:r>
          </w:p>
        </w:tc>
        <w:tc>
          <w:p>
            <w:pPr>
              <w:pStyle w:val="Compact"/>
              <w:jc w:val="right"/>
            </w:pPr>
            <w:r>
              <w:t xml:space="preserve">1.16</w:t>
            </w:r>
          </w:p>
        </w:tc>
        <w:tc>
          <w:p>
            <w:pPr>
              <w:pStyle w:val="Compact"/>
              <w:jc w:val="right"/>
            </w:pPr>
            <w:r>
              <w:t xml:space="preserve">512.17</w:t>
            </w:r>
          </w:p>
        </w:tc>
      </w:tr>
      <w:tr>
        <w:tc>
          <w:p>
            <w:pPr>
              <w:pStyle w:val="Compact"/>
              <w:jc w:val="left"/>
            </w:pPr>
            <w:r>
              <w:t xml:space="preserve">Periodo 1997-2015</w:t>
            </w:r>
          </w:p>
        </w:tc>
        <w:tc>
          <w:p>
            <w:pPr>
              <w:pStyle w:val="Compact"/>
              <w:jc w:val="right"/>
            </w:pPr>
            <w:r>
              <w:t xml:space="preserve">7</w:t>
            </w:r>
          </w:p>
        </w:tc>
        <w:tc>
          <w:p>
            <w:pPr>
              <w:pStyle w:val="Compact"/>
              <w:jc w:val="left"/>
            </w:pPr>
            <w:r>
              <w:t xml:space="preserve">ICANE_2011</w:t>
            </w:r>
          </w:p>
        </w:tc>
        <w:tc>
          <w:p>
            <w:pPr>
              <w:pStyle w:val="Compact"/>
              <w:jc w:val="left"/>
            </w:pPr>
            <w:r>
              <w:t xml:space="preserve">Mujeres</w:t>
            </w:r>
          </w:p>
        </w:tc>
        <w:tc>
          <w:p>
            <w:pPr>
              <w:pStyle w:val="Compact"/>
              <w:jc w:val="right"/>
            </w:pPr>
            <w:r>
              <w:t xml:space="preserve">1.00</w:t>
            </w:r>
          </w:p>
        </w:tc>
        <w:tc>
          <w:p>
            <w:pPr>
              <w:pStyle w:val="Compact"/>
              <w:jc w:val="right"/>
            </w:pPr>
            <w:r>
              <w:t xml:space="preserve">0.90</w:t>
            </w:r>
          </w:p>
        </w:tc>
        <w:tc>
          <w:p>
            <w:pPr>
              <w:pStyle w:val="Compact"/>
              <w:jc w:val="right"/>
            </w:pPr>
            <w:r>
              <w:t xml:space="preserve">1.10</w:t>
            </w:r>
          </w:p>
        </w:tc>
        <w:tc>
          <w:p>
            <w:pPr>
              <w:pStyle w:val="Compact"/>
              <w:jc w:val="right"/>
            </w:pPr>
            <w:r>
              <w:t xml:space="preserve">431.42</w:t>
            </w:r>
          </w:p>
        </w:tc>
      </w:tr>
      <w:tr>
        <w:tc>
          <w:p>
            <w:pPr>
              <w:pStyle w:val="Compact"/>
              <w:jc w:val="left"/>
            </w:pPr>
            <w:r>
              <w:t xml:space="preserve">Periodo 1997-2015</w:t>
            </w:r>
          </w:p>
        </w:tc>
        <w:tc>
          <w:p>
            <w:pPr>
              <w:pStyle w:val="Compact"/>
              <w:jc w:val="right"/>
            </w:pPr>
            <w:r>
              <w:t xml:space="preserve">8</w:t>
            </w:r>
          </w:p>
        </w:tc>
        <w:tc>
          <w:p>
            <w:pPr>
              <w:pStyle w:val="Compact"/>
              <w:jc w:val="left"/>
            </w:pPr>
            <w:r>
              <w:t xml:space="preserve">ICANE_2011</w:t>
            </w:r>
          </w:p>
        </w:tc>
        <w:tc>
          <w:p>
            <w:pPr>
              <w:pStyle w:val="Compact"/>
              <w:jc w:val="left"/>
            </w:pPr>
            <w:r>
              <w:t xml:space="preserve">Mujeres</w:t>
            </w:r>
          </w:p>
        </w:tc>
        <w:tc>
          <w:p>
            <w:pPr>
              <w:pStyle w:val="Compact"/>
              <w:jc w:val="right"/>
            </w:pPr>
            <w:r>
              <w:t xml:space="preserve">1.02</w:t>
            </w:r>
          </w:p>
        </w:tc>
        <w:tc>
          <w:p>
            <w:pPr>
              <w:pStyle w:val="Compact"/>
              <w:jc w:val="right"/>
            </w:pPr>
            <w:r>
              <w:t xml:space="preserve">0.94</w:t>
            </w:r>
          </w:p>
        </w:tc>
        <w:tc>
          <w:p>
            <w:pPr>
              <w:pStyle w:val="Compact"/>
              <w:jc w:val="right"/>
            </w:pPr>
            <w:r>
              <w:t xml:space="preserve">1.10</w:t>
            </w:r>
          </w:p>
        </w:tc>
        <w:tc>
          <w:p>
            <w:pPr>
              <w:pStyle w:val="Compact"/>
              <w:jc w:val="right"/>
            </w:pPr>
            <w:r>
              <w:t xml:space="preserve">523.46</w:t>
            </w:r>
          </w:p>
        </w:tc>
      </w:tr>
      <w:tr>
        <w:tc>
          <w:p>
            <w:pPr>
              <w:pStyle w:val="Compact"/>
              <w:jc w:val="left"/>
            </w:pPr>
            <w:r>
              <w:t xml:space="preserve">Periodo 1997-2015</w:t>
            </w:r>
          </w:p>
        </w:tc>
        <w:tc>
          <w:p>
            <w:pPr>
              <w:pStyle w:val="Compact"/>
              <w:jc w:val="right"/>
            </w:pPr>
            <w:r>
              <w:t xml:space="preserve">11</w:t>
            </w:r>
          </w:p>
        </w:tc>
        <w:tc>
          <w:p>
            <w:pPr>
              <w:pStyle w:val="Compact"/>
              <w:jc w:val="left"/>
            </w:pPr>
            <w:r>
              <w:t xml:space="preserve">ICANE_2011</w:t>
            </w:r>
          </w:p>
        </w:tc>
        <w:tc>
          <w:p>
            <w:pPr>
              <w:pStyle w:val="Compact"/>
              <w:jc w:val="left"/>
            </w:pPr>
            <w:r>
              <w:t xml:space="preserve">Mujeres</w:t>
            </w:r>
          </w:p>
        </w:tc>
        <w:tc>
          <w:p>
            <w:pPr>
              <w:pStyle w:val="Compact"/>
              <w:jc w:val="right"/>
            </w:pPr>
            <w:r>
              <w:t xml:space="preserve">1.01</w:t>
            </w:r>
          </w:p>
        </w:tc>
        <w:tc>
          <w:p>
            <w:pPr>
              <w:pStyle w:val="Compact"/>
              <w:jc w:val="right"/>
            </w:pPr>
            <w:r>
              <w:t xml:space="preserve">0.93</w:t>
            </w:r>
          </w:p>
        </w:tc>
        <w:tc>
          <w:p>
            <w:pPr>
              <w:pStyle w:val="Compact"/>
              <w:jc w:val="right"/>
            </w:pPr>
            <w:r>
              <w:t xml:space="preserve">1.10</w:t>
            </w:r>
          </w:p>
        </w:tc>
        <w:tc>
          <w:p>
            <w:pPr>
              <w:pStyle w:val="Compact"/>
              <w:jc w:val="right"/>
            </w:pPr>
            <w:r>
              <w:t xml:space="preserve">446.14</w:t>
            </w:r>
          </w:p>
        </w:tc>
      </w:tr>
      <w:tr>
        <w:tc>
          <w:p>
            <w:pPr>
              <w:pStyle w:val="Compact"/>
              <w:jc w:val="left"/>
            </w:pPr>
            <w:r>
              <w:t xml:space="preserve">Periodo 1997-2015</w:t>
            </w:r>
          </w:p>
        </w:tc>
        <w:tc>
          <w:p>
            <w:pPr>
              <w:pStyle w:val="Compact"/>
              <w:jc w:val="right"/>
            </w:pPr>
            <w:r>
              <w:t xml:space="preserve">12</w:t>
            </w:r>
          </w:p>
        </w:tc>
        <w:tc>
          <w:p>
            <w:pPr>
              <w:pStyle w:val="Compact"/>
              <w:jc w:val="left"/>
            </w:pPr>
            <w:r>
              <w:t xml:space="preserve">ICANE_2011</w:t>
            </w:r>
          </w:p>
        </w:tc>
        <w:tc>
          <w:p>
            <w:pPr>
              <w:pStyle w:val="Compact"/>
              <w:jc w:val="left"/>
            </w:pPr>
            <w:r>
              <w:t xml:space="preserve">Mujeres</w:t>
            </w:r>
          </w:p>
        </w:tc>
        <w:tc>
          <w:p>
            <w:pPr>
              <w:pStyle w:val="Compact"/>
              <w:jc w:val="right"/>
            </w:pPr>
            <w:r>
              <w:t xml:space="preserve">1.15</w:t>
            </w:r>
          </w:p>
        </w:tc>
        <w:tc>
          <w:p>
            <w:pPr>
              <w:pStyle w:val="Compact"/>
              <w:jc w:val="right"/>
            </w:pPr>
            <w:r>
              <w:t xml:space="preserve">1.03</w:t>
            </w:r>
          </w:p>
        </w:tc>
        <w:tc>
          <w:p>
            <w:pPr>
              <w:pStyle w:val="Compact"/>
              <w:jc w:val="right"/>
            </w:pPr>
            <w:r>
              <w:t xml:space="preserve">1.27</w:t>
            </w:r>
          </w:p>
        </w:tc>
        <w:tc>
          <w:p>
            <w:pPr>
              <w:pStyle w:val="Compact"/>
              <w:jc w:val="right"/>
            </w:pPr>
            <w:r>
              <w:t xml:space="preserve">446.53</w:t>
            </w:r>
          </w:p>
        </w:tc>
      </w:tr>
      <w:tr>
        <w:tc>
          <w:p>
            <w:pPr>
              <w:pStyle w:val="Compact"/>
              <w:jc w:val="left"/>
            </w:pPr>
            <w:r>
              <w:t xml:space="preserve">Periodo 1997-2015</w:t>
            </w:r>
          </w:p>
        </w:tc>
        <w:tc>
          <w:p>
            <w:pPr>
              <w:pStyle w:val="Compact"/>
              <w:jc w:val="right"/>
            </w:pPr>
            <w:r>
              <w:t xml:space="preserve">15</w:t>
            </w:r>
          </w:p>
        </w:tc>
        <w:tc>
          <w:p>
            <w:pPr>
              <w:pStyle w:val="Compact"/>
              <w:jc w:val="left"/>
            </w:pPr>
            <w:r>
              <w:t xml:space="preserve">ICANE_2011</w:t>
            </w:r>
          </w:p>
        </w:tc>
        <w:tc>
          <w:p>
            <w:pPr>
              <w:pStyle w:val="Compact"/>
              <w:jc w:val="left"/>
            </w:pPr>
            <w:r>
              <w:t xml:space="preserve">Mujeres</w:t>
            </w:r>
          </w:p>
        </w:tc>
        <w:tc>
          <w:p>
            <w:pPr>
              <w:pStyle w:val="Compact"/>
              <w:jc w:val="right"/>
            </w:pPr>
            <w:r>
              <w:t xml:space="preserve">0.97</w:t>
            </w:r>
          </w:p>
        </w:tc>
        <w:tc>
          <w:p>
            <w:pPr>
              <w:pStyle w:val="Compact"/>
              <w:jc w:val="right"/>
            </w:pPr>
            <w:r>
              <w:t xml:space="preserve">0.89</w:t>
            </w:r>
          </w:p>
        </w:tc>
        <w:tc>
          <w:p>
            <w:pPr>
              <w:pStyle w:val="Compact"/>
              <w:jc w:val="right"/>
            </w:pPr>
            <w:r>
              <w:t xml:space="preserve">1.05</w:t>
            </w:r>
          </w:p>
        </w:tc>
        <w:tc>
          <w:p>
            <w:pPr>
              <w:pStyle w:val="Compact"/>
              <w:jc w:val="right"/>
            </w:pPr>
            <w:r>
              <w:t xml:space="preserve">560.17</w:t>
            </w:r>
          </w:p>
        </w:tc>
      </w:tr>
      <w:tr>
        <w:tc>
          <w:p>
            <w:pPr>
              <w:pStyle w:val="Compact"/>
              <w:jc w:val="left"/>
            </w:pPr>
            <w:r>
              <w:t xml:space="preserve">Periodo 1997-2015</w:t>
            </w:r>
          </w:p>
        </w:tc>
        <w:tc>
          <w:p>
            <w:pPr>
              <w:pStyle w:val="Compact"/>
              <w:jc w:val="right"/>
            </w:pPr>
            <w:r>
              <w:t xml:space="preserve">16</w:t>
            </w:r>
          </w:p>
        </w:tc>
        <w:tc>
          <w:p>
            <w:pPr>
              <w:pStyle w:val="Compact"/>
              <w:jc w:val="left"/>
            </w:pPr>
            <w:r>
              <w:t xml:space="preserve">ICANE_2011</w:t>
            </w:r>
          </w:p>
        </w:tc>
        <w:tc>
          <w:p>
            <w:pPr>
              <w:pStyle w:val="Compact"/>
              <w:jc w:val="left"/>
            </w:pPr>
            <w:r>
              <w:t xml:space="preserve">Mujeres</w:t>
            </w:r>
          </w:p>
        </w:tc>
        <w:tc>
          <w:p>
            <w:pPr>
              <w:pStyle w:val="Compact"/>
              <w:jc w:val="right"/>
            </w:pPr>
            <w:r>
              <w:t xml:space="preserve">1.04</w:t>
            </w:r>
          </w:p>
        </w:tc>
        <w:tc>
          <w:p>
            <w:pPr>
              <w:pStyle w:val="Compact"/>
              <w:jc w:val="right"/>
            </w:pPr>
            <w:r>
              <w:t xml:space="preserve">0.98</w:t>
            </w:r>
          </w:p>
        </w:tc>
        <w:tc>
          <w:p>
            <w:pPr>
              <w:pStyle w:val="Compact"/>
              <w:jc w:val="right"/>
            </w:pPr>
            <w:r>
              <w:t xml:space="preserve">1.11</w:t>
            </w:r>
          </w:p>
        </w:tc>
        <w:tc>
          <w:p>
            <w:pPr>
              <w:pStyle w:val="Compact"/>
              <w:jc w:val="right"/>
            </w:pPr>
            <w:r>
              <w:t xml:space="preserve">650.12</w:t>
            </w:r>
          </w:p>
        </w:tc>
      </w:tr>
      <w:tr>
        <w:tc>
          <w:p>
            <w:pPr>
              <w:pStyle w:val="Compact"/>
              <w:jc w:val="left"/>
            </w:pPr>
            <w:r>
              <w:t xml:space="preserve">Periodo 1997-2015</w:t>
            </w:r>
          </w:p>
        </w:tc>
        <w:tc>
          <w:p>
            <w:pPr>
              <w:pStyle w:val="Compact"/>
              <w:jc w:val="right"/>
            </w:pPr>
            <w:r>
              <w:t xml:space="preserve">17</w:t>
            </w:r>
          </w:p>
        </w:tc>
        <w:tc>
          <w:p>
            <w:pPr>
              <w:pStyle w:val="Compact"/>
              <w:jc w:val="left"/>
            </w:pPr>
            <w:r>
              <w:t xml:space="preserve">ICANE_2011</w:t>
            </w:r>
          </w:p>
        </w:tc>
        <w:tc>
          <w:p>
            <w:pPr>
              <w:pStyle w:val="Compact"/>
              <w:jc w:val="left"/>
            </w:pPr>
            <w:r>
              <w:t xml:space="preserve">Mujeres</w:t>
            </w:r>
          </w:p>
        </w:tc>
        <w:tc>
          <w:p>
            <w:pPr>
              <w:pStyle w:val="Compact"/>
              <w:jc w:val="right"/>
            </w:pPr>
            <w:r>
              <w:t xml:space="preserve">1.01</w:t>
            </w:r>
          </w:p>
        </w:tc>
        <w:tc>
          <w:p>
            <w:pPr>
              <w:pStyle w:val="Compact"/>
              <w:jc w:val="right"/>
            </w:pPr>
            <w:r>
              <w:t xml:space="preserve">0.94</w:t>
            </w:r>
          </w:p>
        </w:tc>
        <w:tc>
          <w:p>
            <w:pPr>
              <w:pStyle w:val="Compact"/>
              <w:jc w:val="right"/>
            </w:pPr>
            <w:r>
              <w:t xml:space="preserve">1.07</w:t>
            </w:r>
          </w:p>
        </w:tc>
        <w:tc>
          <w:p>
            <w:pPr>
              <w:pStyle w:val="Compact"/>
              <w:jc w:val="right"/>
            </w:pPr>
            <w:r>
              <w:t xml:space="preserve">670.80</w:t>
            </w:r>
          </w:p>
        </w:tc>
      </w:tr>
      <w:tr>
        <w:tc>
          <w:p>
            <w:pPr>
              <w:pStyle w:val="Compact"/>
              <w:jc w:val="left"/>
            </w:pPr>
            <w:r>
              <w:t xml:space="preserve">Periodo 1997-2015</w:t>
            </w:r>
          </w:p>
        </w:tc>
        <w:tc>
          <w:p>
            <w:pPr>
              <w:pStyle w:val="Compact"/>
              <w:jc w:val="right"/>
            </w:pPr>
            <w:r>
              <w:t xml:space="preserve">18</w:t>
            </w:r>
          </w:p>
        </w:tc>
        <w:tc>
          <w:p>
            <w:pPr>
              <w:pStyle w:val="Compact"/>
              <w:jc w:val="left"/>
            </w:pPr>
            <w:r>
              <w:t xml:space="preserve">ICANE_2011</w:t>
            </w:r>
          </w:p>
        </w:tc>
        <w:tc>
          <w:p>
            <w:pPr>
              <w:pStyle w:val="Compact"/>
              <w:jc w:val="left"/>
            </w:pPr>
            <w:r>
              <w:t xml:space="preserve">Mujeres</w:t>
            </w:r>
          </w:p>
        </w:tc>
        <w:tc>
          <w:p>
            <w:pPr>
              <w:pStyle w:val="Compact"/>
              <w:jc w:val="right"/>
            </w:pPr>
            <w:r>
              <w:t xml:space="preserve">1.03</w:t>
            </w:r>
          </w:p>
        </w:tc>
        <w:tc>
          <w:p>
            <w:pPr>
              <w:pStyle w:val="Compact"/>
              <w:jc w:val="right"/>
            </w:pPr>
            <w:r>
              <w:t xml:space="preserve">0.91</w:t>
            </w:r>
          </w:p>
        </w:tc>
        <w:tc>
          <w:p>
            <w:pPr>
              <w:pStyle w:val="Compact"/>
              <w:jc w:val="right"/>
            </w:pPr>
            <w:r>
              <w:t xml:space="preserve">1.16</w:t>
            </w:r>
          </w:p>
        </w:tc>
        <w:tc>
          <w:p>
            <w:pPr>
              <w:pStyle w:val="Compact"/>
              <w:jc w:val="right"/>
            </w:pPr>
            <w:r>
              <w:t xml:space="preserve">384.84</w:t>
            </w:r>
          </w:p>
        </w:tc>
      </w:tr>
      <w:tr>
        <w:tc>
          <w:p>
            <w:pPr>
              <w:pStyle w:val="Compact"/>
              <w:jc w:val="left"/>
            </w:pPr>
            <w:r>
              <w:t xml:space="preserve">Periodo 1997-2015</w:t>
            </w:r>
          </w:p>
        </w:tc>
        <w:tc>
          <w:p>
            <w:pPr>
              <w:pStyle w:val="Compact"/>
              <w:jc w:val="right"/>
            </w:pPr>
            <w:r>
              <w:t xml:space="preserve">19</w:t>
            </w:r>
          </w:p>
        </w:tc>
        <w:tc>
          <w:p>
            <w:pPr>
              <w:pStyle w:val="Compact"/>
              <w:jc w:val="left"/>
            </w:pPr>
            <w:r>
              <w:t xml:space="preserve">ICANE_2011</w:t>
            </w:r>
          </w:p>
        </w:tc>
        <w:tc>
          <w:p>
            <w:pPr>
              <w:pStyle w:val="Compact"/>
              <w:jc w:val="left"/>
            </w:pPr>
            <w:r>
              <w:t xml:space="preserve">Mujeres</w:t>
            </w:r>
          </w:p>
        </w:tc>
        <w:tc>
          <w:p>
            <w:pPr>
              <w:pStyle w:val="Compact"/>
              <w:jc w:val="right"/>
            </w:pPr>
            <w:r>
              <w:t xml:space="preserve">1.08</w:t>
            </w:r>
          </w:p>
        </w:tc>
        <w:tc>
          <w:p>
            <w:pPr>
              <w:pStyle w:val="Compact"/>
              <w:jc w:val="right"/>
            </w:pPr>
            <w:r>
              <w:t xml:space="preserve">0.93</w:t>
            </w:r>
          </w:p>
        </w:tc>
        <w:tc>
          <w:p>
            <w:pPr>
              <w:pStyle w:val="Compact"/>
              <w:jc w:val="right"/>
            </w:pPr>
            <w:r>
              <w:t xml:space="preserve">1.25</w:t>
            </w:r>
          </w:p>
        </w:tc>
        <w:tc>
          <w:p>
            <w:pPr>
              <w:pStyle w:val="Compact"/>
              <w:jc w:val="right"/>
            </w:pPr>
            <w:r>
              <w:t xml:space="preserve">314.36</w:t>
            </w:r>
          </w:p>
        </w:tc>
      </w:tr>
    </w:tbl>
    <w:p>
      <w:pPr>
        <w:pStyle w:val="BodyText"/>
      </w:pPr>
      <w:r>
        <w:t xml:space="preserve">Representamos en la figura nº 32 los riesgos relativos de las causas :</w:t>
      </w:r>
      <w:r>
        <w:t xml:space="preserve"> </w:t>
      </w:r>
      <w:r>
        <w:t xml:space="preserve">“</w:t>
      </w:r>
      <w:r>
        <w:t xml:space="preserve">02</w:t>
      </w:r>
      <w:r>
        <w:t xml:space="preserve">”</w:t>
      </w:r>
      <w:r>
        <w:t xml:space="preserve">,</w:t>
      </w:r>
      <w:r>
        <w:t xml:space="preserve">“</w:t>
      </w:r>
      <w:r>
        <w:t xml:space="preserve">05</w:t>
      </w:r>
      <w:r>
        <w:t xml:space="preserve">”</w:t>
      </w:r>
      <w:r>
        <w:t xml:space="preserve">,</w:t>
      </w:r>
      <w:r>
        <w:t xml:space="preserve">“</w:t>
      </w:r>
      <w:r>
        <w:t xml:space="preserve">07</w:t>
      </w:r>
      <w:r>
        <w:t xml:space="preserve">”</w:t>
      </w:r>
      <w:r>
        <w:t xml:space="preserve">,</w:t>
      </w:r>
      <w:r>
        <w:t xml:space="preserve">“</w:t>
      </w:r>
      <w:r>
        <w:t xml:space="preserve">08</w:t>
      </w:r>
      <w:r>
        <w:t xml:space="preserve">”</w:t>
      </w:r>
      <w:r>
        <w:t xml:space="preserve">,</w:t>
      </w:r>
      <w:r>
        <w:t xml:space="preserve">“</w:t>
      </w:r>
      <w:r>
        <w:t xml:space="preserve">11</w:t>
      </w:r>
      <w:r>
        <w:t xml:space="preserve">”</w:t>
      </w:r>
      <w:r>
        <w:t xml:space="preserve">,</w:t>
      </w:r>
      <w:r>
        <w:t xml:space="preserve">“</w:t>
      </w:r>
      <w:r>
        <w:t xml:space="preserve">12</w:t>
      </w:r>
      <w:r>
        <w:t xml:space="preserve">”</w:t>
      </w:r>
      <w:r>
        <w:t xml:space="preserve">,</w:t>
      </w:r>
      <w:r>
        <w:t xml:space="preserve">“</w:t>
      </w:r>
      <w:r>
        <w:t xml:space="preserve">15</w:t>
      </w:r>
      <w:r>
        <w:t xml:space="preserve">”</w:t>
      </w:r>
      <w:r>
        <w:t xml:space="preserve">,</w:t>
      </w:r>
      <w:r>
        <w:t xml:space="preserve">“</w:t>
      </w:r>
      <w:r>
        <w:t xml:space="preserve">16</w:t>
      </w:r>
      <w:r>
        <w:t xml:space="preserve">”</w:t>
      </w:r>
      <w:r>
        <w:t xml:space="preserve">,</w:t>
      </w:r>
      <w:r>
        <w:t xml:space="preserve">“</w:t>
      </w:r>
      <w:r>
        <w:t xml:space="preserve">17</w:t>
      </w:r>
      <w:r>
        <w:t xml:space="preserve">”</w:t>
      </w:r>
      <w:r>
        <w:t xml:space="preserve">,</w:t>
      </w:r>
      <w:r>
        <w:t xml:space="preserve">“</w:t>
      </w:r>
      <w:r>
        <w:t xml:space="preserve">18</w:t>
      </w:r>
      <w:r>
        <w:t xml:space="preserve">”</w:t>
      </w:r>
      <w:r>
        <w:t xml:space="preserve">,</w:t>
      </w:r>
      <w:r>
        <w:t xml:space="preserve">“</w:t>
      </w:r>
      <w:r>
        <w:t xml:space="preserve">19</w:t>
      </w:r>
      <w:r>
        <w:t xml:space="preserve">”</w:t>
      </w:r>
      <w:r>
        <w:t xml:space="preserve"> </w:t>
      </w:r>
      <w:r>
        <w:t xml:space="preserve">(Ver Anexo II)</w:t>
      </w:r>
    </w:p>
    <w:p>
      <w:pPr>
        <w:pStyle w:val="BodyText"/>
      </w:pPr>
      <w:r>
        <w:drawing>
          <wp:inline>
            <wp:extent cx="4620126" cy="3696101"/>
            <wp:effectExtent b="0" l="0" r="0" t="0"/>
            <wp:docPr descr="" title="" id="1" name="Picture"/>
            <a:graphic>
              <a:graphicData uri="http://schemas.openxmlformats.org/drawingml/2006/picture">
                <pic:pic>
                  <pic:nvPicPr>
                    <pic:cNvPr descr="articulo_proyecto_medea_RMS_final_4_files/figure-docx/unnamed-chunk-73-1.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bookmarkEnd w:id="82"/>
    <w:bookmarkEnd w:id="83"/>
    <w:bookmarkEnd w:id="84"/>
    <w:bookmarkEnd w:id="85"/>
    <w:bookmarkStart w:id="86" w:name="conclusiones"/>
    <w:p>
      <w:pPr>
        <w:pStyle w:val="Heading1"/>
      </w:pPr>
      <w:r>
        <w:t xml:space="preserve">Conclusiones</w:t>
      </w:r>
    </w:p>
    <w:p>
      <w:pPr>
        <w:pStyle w:val="FirstParagraph"/>
      </w:pPr>
      <w:r>
        <w:t xml:space="preserve">Las RME’s de todas las causas de mortalidad del municipio de santander elaboradas con datos del periodo 1997-2015 sugieren la exisitencia de una realción entre pobreza y exceso de mortalidad, ya que una serie de secciones censales que incluyen las zonas más desfavorecidas (Barrio Pesquero, Monte y Cueto, La albericia) obtienen valores altos en las RME’s.</w:t>
      </w:r>
    </w:p>
    <w:p>
      <w:pPr>
        <w:pStyle w:val="BodyText"/>
      </w:pPr>
      <w:r>
        <w:t xml:space="preserve">Con el objetivo de contrastar con la teoría estadística dicha relación se ha utilizado el indicador Medea III y otro Multidimensional que además de la dimensión socioeconómica del indicador Medea, incluye las dimensiones de vulnerabilidad demográfica, de vivienda y de pobreza monetaria. Este indicador al igual que el Medea se elabora con datos del censo de 2001 y 2011, pero incluye datos procedentes de otros registros públicos (pensiones no contributivas y rentas básicas). Las representaciones geográficas de este indicador (Multidimensional 2011) muestran la vulnerabilidad de las secciones en donde se encuadra el Barrio Pesquero, determinadas secciones del centro de la ciudad, y de otras areas de Monte y La albericia.</w:t>
      </w:r>
    </w:p>
    <w:p>
      <w:pPr>
        <w:pStyle w:val="BodyText"/>
      </w:pPr>
      <w:r>
        <w:t xml:space="preserve">La regresión ecológica realizada con el modelo INLA bayesiano BYM, confirma esta relación estre exceso de mortalidad y pobreza en la ciudad de Santander:</w:t>
      </w:r>
    </w:p>
    <w:tbl>
      <w:tblPr>
        <w:tblStyle w:val="Table"/>
        <w:tblW w:type="pct" w:w="0.0"/>
        <w:tblLook w:firstRow="1" w:lastRow="0" w:firstColumn="0" w:lastColumn="0" w:noHBand="0" w:noVBand="0" w:val="0020"/>
      </w:tblPr>
      <w:tblGrid/>
      <w:tr>
        <w:tc>
          <w:p>
            <w:pPr>
              <w:pStyle w:val="Compact"/>
              <w:jc w:val="left"/>
            </w:pPr>
            <w:r>
              <w:t xml:space="preserve">\</w:t>
            </w:r>
          </w:p>
        </w:tc>
        <w:tc>
          <w:p>
            <w:pPr>
              <w:pStyle w:val="Compact"/>
              <w:jc w:val="left"/>
            </w:pPr>
            <w:r>
              <w:t xml:space="preserve">Privación</w:t>
            </w:r>
          </w:p>
        </w:tc>
        <w:tc>
          <w:p>
            <w:pPr>
              <w:pStyle w:val="Compact"/>
              <w:jc w:val="left"/>
            </w:pPr>
            <w:r>
              <w:t xml:space="preserve">0.25 quant</w:t>
            </w:r>
          </w:p>
        </w:tc>
        <w:tc>
          <w:p>
            <w:pPr>
              <w:pStyle w:val="Compact"/>
              <w:jc w:val="left"/>
            </w:pPr>
            <w:r>
              <w:t xml:space="preserve">0.975 quant</w:t>
            </w:r>
          </w:p>
        </w:tc>
      </w:tr>
      <w:tr>
        <w:tc>
          <w:p>
            <w:pPr>
              <w:pStyle w:val="Compact"/>
              <w:jc w:val="left"/>
            </w:pPr>
            <w:r>
              <w:t xml:space="preserve">Hombres. Medea III</w:t>
            </w:r>
          </w:p>
        </w:tc>
        <w:tc>
          <w:p>
            <w:pPr>
              <w:pStyle w:val="Compact"/>
              <w:jc w:val="left"/>
            </w:pPr>
            <w:r>
              <w:t xml:space="preserve">0.2963</w:t>
            </w:r>
          </w:p>
        </w:tc>
        <w:tc>
          <w:p>
            <w:pPr>
              <w:pStyle w:val="Compact"/>
              <w:jc w:val="left"/>
            </w:pPr>
            <w:r>
              <w:t xml:space="preserve">0.1876</w:t>
            </w:r>
          </w:p>
        </w:tc>
        <w:tc>
          <w:p>
            <w:pPr>
              <w:pStyle w:val="Compact"/>
              <w:jc w:val="left"/>
            </w:pPr>
            <w:r>
              <w:t xml:space="preserve">0.4049</w:t>
            </w:r>
          </w:p>
        </w:tc>
      </w:tr>
      <w:tr>
        <w:tc>
          <w:p>
            <w:pPr>
              <w:pStyle w:val="Compact"/>
              <w:jc w:val="left"/>
            </w:pPr>
            <w:r>
              <w:t xml:space="preserve">Hombres. Multidimensional 2011</w:t>
            </w:r>
          </w:p>
        </w:tc>
        <w:tc>
          <w:p>
            <w:pPr>
              <w:pStyle w:val="Compact"/>
              <w:jc w:val="left"/>
            </w:pPr>
            <w:r>
              <w:t xml:space="preserve">0.0861</w:t>
            </w:r>
          </w:p>
        </w:tc>
        <w:tc>
          <w:p>
            <w:pPr>
              <w:pStyle w:val="Compact"/>
              <w:jc w:val="left"/>
            </w:pPr>
            <w:r>
              <w:t xml:space="preserve">0.0619</w:t>
            </w:r>
          </w:p>
        </w:tc>
        <w:tc>
          <w:p>
            <w:pPr>
              <w:pStyle w:val="Compact"/>
              <w:jc w:val="left"/>
            </w:pPr>
            <w:r>
              <w:t xml:space="preserve">0.1109</w:t>
            </w:r>
          </w:p>
        </w:tc>
      </w:tr>
      <w:tr>
        <w:tc>
          <w:p>
            <w:pPr>
              <w:pStyle w:val="Compact"/>
              <w:jc w:val="left"/>
            </w:pPr>
            <w:r>
              <w:t xml:space="preserve">Mujeres. Medea III</w:t>
            </w:r>
          </w:p>
        </w:tc>
        <w:tc>
          <w:p>
            <w:pPr>
              <w:pStyle w:val="Compact"/>
              <w:jc w:val="left"/>
            </w:pPr>
            <w:r>
              <w:t xml:space="preserve">0.0963</w:t>
            </w:r>
          </w:p>
        </w:tc>
        <w:tc>
          <w:p>
            <w:pPr>
              <w:pStyle w:val="Compact"/>
              <w:jc w:val="left"/>
            </w:pPr>
            <w:r>
              <w:t xml:space="preserve">-0.0171</w:t>
            </w:r>
          </w:p>
        </w:tc>
        <w:tc>
          <w:p>
            <w:pPr>
              <w:pStyle w:val="Compact"/>
              <w:jc w:val="left"/>
            </w:pPr>
            <w:r>
              <w:t xml:space="preserve">0.2109</w:t>
            </w:r>
          </w:p>
        </w:tc>
      </w:tr>
      <w:tr>
        <w:tc>
          <w:p>
            <w:pPr>
              <w:pStyle w:val="Compact"/>
              <w:jc w:val="left"/>
            </w:pPr>
            <w:r>
              <w:t xml:space="preserve">Mujeres. Multidimensional 2011</w:t>
            </w:r>
          </w:p>
        </w:tc>
        <w:tc>
          <w:p>
            <w:pPr>
              <w:pStyle w:val="Compact"/>
              <w:jc w:val="left"/>
            </w:pPr>
            <w:r>
              <w:t xml:space="preserve">0.0320</w:t>
            </w:r>
          </w:p>
        </w:tc>
        <w:tc>
          <w:p>
            <w:pPr>
              <w:pStyle w:val="Compact"/>
              <w:jc w:val="left"/>
            </w:pPr>
            <w:r>
              <w:t xml:space="preserve">0.036</w:t>
            </w:r>
          </w:p>
        </w:tc>
        <w:tc>
          <w:p>
            <w:pPr>
              <w:pStyle w:val="Compact"/>
              <w:jc w:val="left"/>
            </w:pPr>
            <w:r>
              <w:t xml:space="preserve">0.0606</w:t>
            </w:r>
          </w:p>
        </w:tc>
      </w:tr>
    </w:tbl>
    <w:p>
      <w:pPr>
        <w:pStyle w:val="BodyText"/>
      </w:pPr>
      <w:r>
        <w:t xml:space="preserve">Exceptuando el grupo de mujeres cuando se utiliza el indicador Medea III, en los otros análisis se confirma que pobreza y riesgo relativo de mortalidad tienen una relación positiva y con significación individual a un</w:t>
      </w:r>
      <w:r>
        <w:t xml:space="preserve"> </w:t>
      </w:r>
      <m:oMath>
        <m:r>
          <m:t>α</m:t>
        </m:r>
        <m:r>
          <m:rPr>
            <m:sty m:val="p"/>
          </m:rPr>
          <m:t>=</m:t>
        </m:r>
        <m:r>
          <m:t>0.05</m:t>
        </m:r>
      </m:oMath>
      <w:r>
        <w:t xml:space="preserve">.</w:t>
      </w:r>
    </w:p>
    <w:p>
      <w:pPr>
        <w:pStyle w:val="BodyText"/>
      </w:pPr>
      <w:r>
        <w:t xml:space="preserve">Las regresiones también muestra que esta relación es más eleva en los grupos de hombres que en los grupos de Mujeres. En relación a las enfermedades más habituales entre hombres y mujeres, destacarían la relación entre vulnerabilidad y las causas 01, 06, 18 y 19 que se obtienen en el grupo de los hombres.</w:t>
      </w:r>
    </w:p>
    <w:bookmarkEnd w:id="86"/>
    <w:bookmarkStart w:id="87" w:name="anexo-i"/>
    <w:p>
      <w:pPr>
        <w:pStyle w:val="Heading1"/>
      </w:pPr>
      <w:r>
        <w:t xml:space="preserve">ANEXO I</w:t>
      </w:r>
    </w:p>
    <w:p>
      <w:pPr>
        <w:pStyle w:val="FirstParagraph"/>
      </w:pPr>
      <w:r>
        <w:t xml:space="preserve">Para analizar la mortalidad en cada area se ha escogido como indicador la Razón de Mortalidad Estandarizada suavizada (RMEs), calculada con un modelo específico de suavización de riesgos, tal y como se le denomina en la literatura científica. La mayoría de modelos de suavización de riesgos modelizan la dependencia espacial entre observaciones, asumiendo que observaciones de unidades geográficas próximas entre sí se parecerán más que las observaciones de unidades geográficas más distantes. La inclusión en el modelo de esta estructura de dependencia espacial entre los riesgos municipales aporta información adicional a la que aportan los datos de todos éstos, y conduce a una estimación más fiable de los indicadores de riesgo. La fundamentación de esta idea sería que los factores de riesgo que favorecen la mortalidad están relacionados con el entorno (social, cultural, medioambiental) y que éstos no cambian bruscamente de un municipio al contiguo, sino que varían de forma espacialmente suave. Por ello, se espera que municipios cercanos presenten riesgos similares, y así la RME de un municipio se suaviza (estima) con la ayuda de sus municipios vecinos. El modelo estadístico escogido para la estimación de las RMEs, y que implementa las ideas anteriores, es el modelo (Bayesiano) de Besag, York y Mollié (1991), que es una de las propuestas más populares en la literatura de suavización geográfica de riesgos.</w:t>
      </w:r>
    </w:p>
    <w:p>
      <w:pPr>
        <w:pStyle w:val="BodyText"/>
      </w:pPr>
      <w:r>
        <w:t xml:space="preserve">Tal y como suele ser habitual en este tipo de modelos, se parte de la suposición de que el número de muertes observadas,</w:t>
      </w:r>
      <w:r>
        <w:t xml:space="preserve"> </w:t>
      </w:r>
      <m:oMath>
        <m:sSub>
          <m:e>
            <m:r>
              <m:t>O</m:t>
            </m:r>
          </m:e>
          <m:sub>
            <m:r>
              <m:t>i</m:t>
            </m:r>
          </m:sub>
        </m:sSub>
      </m:oMath>
      <w:r>
        <w:t xml:space="preserve">, en cada area</w:t>
      </w:r>
      <w:r>
        <w:t xml:space="preserve"> </w:t>
      </w:r>
      <m:oMath>
        <m:r>
          <m:t>i</m:t>
        </m:r>
      </m:oMath>
      <w:r>
        <w:t xml:space="preserve"> </w:t>
      </w:r>
      <w:r>
        <w:t xml:space="preserve">sigue una distribución de Poisson. El valor medio de esta distribución se modeliza en función del número de casos esperados en ese area ,</w:t>
      </w:r>
      <m:oMath>
        <m:sSub>
          <m:e>
            <m:r>
              <m:t>E</m:t>
            </m:r>
          </m:e>
          <m:sub>
            <m:r>
              <m:t>i</m:t>
            </m:r>
          </m:sub>
        </m:sSub>
      </m:oMath>
      <w:r>
        <w:t xml:space="preserve">, y el riesgo subyacente en el mismo</w:t>
      </w:r>
      <w:r>
        <w:t xml:space="preserve"> </w:t>
      </w:r>
      <m:oMath>
        <m:sSub>
          <m:e>
            <m:r>
              <m:t>R</m:t>
            </m:r>
          </m:e>
          <m:sub>
            <m:r>
              <m:t>i</m:t>
            </m:r>
          </m:sub>
        </m:sSub>
      </m:oMath>
      <w:r>
        <w:t xml:space="preserve">, que, una vez multiplicado por 100, constituye la RMEs que deseamos estimar. Por tanto, el modelo empleado asume:</w:t>
      </w:r>
    </w:p>
    <w:p>
      <w:pPr>
        <w:pStyle w:val="BodyText"/>
      </w:pPr>
      <m:oMathPara>
        <m:oMathParaPr>
          <m:jc m:val="center"/>
        </m:oMathParaPr>
        <m:oMath>
          <m:sSub>
            <m:e>
              <m:r>
                <m:t>O</m:t>
              </m:r>
            </m:e>
            <m:sub>
              <m:r>
                <m:t>i</m:t>
              </m:r>
            </m:sub>
          </m:sSub>
          <m:r>
            <m:rPr>
              <m:sty m:val="p"/>
            </m:rPr>
            <m:t>|</m:t>
          </m:r>
          <m:sSub>
            <m:e>
              <m:r>
                <m:t>R</m:t>
              </m:r>
            </m:e>
            <m:sub>
              <m:r>
                <m:t>i</m:t>
              </m:r>
            </m:sub>
          </m:sSub>
          <m:r>
            <m:rPr>
              <m:sty m:val="p"/>
            </m:rPr>
            <m:t>∼</m:t>
          </m:r>
          <m:r>
            <m:t>P</m:t>
          </m:r>
          <m:r>
            <m:t>o</m:t>
          </m:r>
          <m:r>
            <m:rPr>
              <m:sty m:val="p"/>
            </m:rPr>
            <m:t>(</m:t>
          </m:r>
          <m:sSub>
            <m:e>
              <m:r>
                <m:t>E</m:t>
              </m:r>
            </m:e>
            <m:sub>
              <m:r>
                <m:t>i</m:t>
              </m:r>
            </m:sub>
          </m:sSub>
          <m:sSub>
            <m:e>
              <m:r>
                <m:t>R</m:t>
              </m:r>
            </m:e>
            <m:sub>
              <m:r>
                <m:t>i</m:t>
              </m:r>
            </m:sub>
          </m:sSub>
          <m:r>
            <m:rPr>
              <m:sty m:val="p"/>
            </m:rPr>
            <m:t>)</m:t>
          </m:r>
        </m:oMath>
      </m:oMathPara>
    </w:p>
    <w:p>
      <w:pPr>
        <w:pStyle w:val="FirstParagraph"/>
      </w:pPr>
      <w:r>
        <w:t xml:space="preserve">donde el índice</w:t>
      </w:r>
      <w:r>
        <w:t xml:space="preserve"> </w:t>
      </w:r>
      <m:oMath>
        <m:r>
          <m:t>i</m:t>
        </m:r>
      </m:oMath>
      <w:r>
        <w:t xml:space="preserve"> </w:t>
      </w:r>
      <w:r>
        <w:t xml:space="preserve">varía para el conjunto de areas (secciones) de Santander. Por su parte, el conjunto de riesgos Ri se modeliza de la siguiente manera:</w:t>
      </w:r>
    </w:p>
    <w:p>
      <w:pPr>
        <w:pStyle w:val="BodyText"/>
      </w:pPr>
      <m:oMathPara>
        <m:oMathParaPr>
          <m:jc m:val="center"/>
        </m:oMathParaPr>
        <m:oMath>
          <m:r>
            <m:t>l</m:t>
          </m:r>
          <m:r>
            <m:t>o</m:t>
          </m:r>
          <m:r>
            <m:t>g</m:t>
          </m:r>
          <m:r>
            <m:rPr>
              <m:sty m:val="p"/>
            </m:rPr>
            <m:t>(</m:t>
          </m:r>
          <m:sSub>
            <m:e>
              <m:r>
                <m:t>R</m:t>
              </m:r>
            </m:e>
            <m:sub>
              <m:r>
                <m:t>i</m:t>
              </m:r>
            </m:sub>
          </m:sSub>
          <m:r>
            <m:rPr>
              <m:sty m:val="p"/>
            </m:rPr>
            <m:t>)</m:t>
          </m:r>
          <m:r>
            <m:rPr>
              <m:sty m:val="p"/>
            </m:rPr>
            <m:t>=</m:t>
          </m:r>
          <m:r>
            <m:t>μ</m:t>
          </m:r>
          <m:r>
            <m:rPr>
              <m:sty m:val="p"/>
            </m:rPr>
            <m:t>+</m:t>
          </m:r>
          <m:sSub>
            <m:e>
              <m:r>
                <m:t>α</m:t>
              </m:r>
            </m:e>
            <m:sub>
              <m:r>
                <m:t>i</m:t>
              </m:r>
            </m:sub>
          </m:sSub>
          <m:r>
            <m:rPr>
              <m:sty m:val="p"/>
            </m:rPr>
            <m:t>+</m:t>
          </m:r>
          <m:sSub>
            <m:e>
              <m:r>
                <m:t>β</m:t>
              </m:r>
            </m:e>
            <m:sub>
              <m:r>
                <m:t>i</m:t>
              </m:r>
            </m:sub>
          </m:sSub>
        </m:oMath>
      </m:oMathPara>
    </w:p>
    <w:p>
      <w:pPr>
        <w:pStyle w:val="FirstParagraph"/>
      </w:pPr>
      <w:r>
        <w:t xml:space="preserve">,</w:t>
      </w:r>
      <w:r>
        <w:t xml:space="preserve"> </w:t>
      </w:r>
      <w:r>
        <w:t xml:space="preserve">es decir, los log-riesgos son suma de:</w:t>
      </w:r>
    </w:p>
    <w:p>
      <w:pPr>
        <w:pStyle w:val="BodyText"/>
      </w:pPr>
      <w:r>
        <w:t xml:space="preserve">Un intercept</w:t>
      </w:r>
      <w:r>
        <w:t xml:space="preserve"> </w:t>
      </w:r>
      <m:oMath>
        <m:r>
          <m:t>μ</m:t>
        </m:r>
      </m:oMath>
      <w:r>
        <w:t xml:space="preserve"> </w:t>
      </w:r>
      <w:r>
        <w:t xml:space="preserve">común a todas las areas.</w:t>
      </w:r>
    </w:p>
    <w:p>
      <w:pPr>
        <w:pStyle w:val="BodyText"/>
      </w:pPr>
      <w:r>
        <w:t xml:space="preserve">Un efecto aleatorio espacial</w:t>
      </w:r>
    </w:p>
    <w:p>
      <w:pPr>
        <w:pStyle w:val="BodyText"/>
      </w:pPr>
      <m:oMathPara>
        <m:oMathParaPr>
          <m:jc m:val="center"/>
        </m:oMathParaPr>
        <m:oMath>
          <m:sSub>
            <m:e>
              <m:r>
                <m:t>α</m:t>
              </m:r>
            </m:e>
            <m:sub>
              <m:r>
                <m:t>i</m:t>
              </m:r>
            </m:sub>
          </m:sSub>
          <m:r>
            <m:rPr>
              <m:sty m:val="p"/>
            </m:rPr>
            <m:t>|</m:t>
          </m:r>
          <m:sSub>
            <m:e>
              <m:r>
                <m:t>α</m:t>
              </m:r>
            </m:e>
            <m:sub>
              <m:r>
                <m:rPr>
                  <m:sty m:val="p"/>
                </m:rPr>
                <m:t>−</m:t>
              </m:r>
              <m:r>
                <m:t>i</m:t>
              </m:r>
            </m:sub>
          </m:sSub>
          <m:r>
            <m:rPr>
              <m:sty m:val="p"/>
            </m:rPr>
            <m:t>,</m:t>
          </m:r>
          <m:r>
            <m:t>σ</m:t>
          </m:r>
          <m:r>
            <m:rPr>
              <m:sty m:val="p"/>
            </m:rPr>
            <m:t>∼</m:t>
          </m:r>
          <m:r>
            <m:t>N</m:t>
          </m:r>
          <m:r>
            <m:rPr>
              <m:sty m:val="p"/>
            </m:rPr>
            <m:t>(</m:t>
          </m:r>
          <m:sSub>
            <m:e>
              <m:acc>
                <m:accPr>
                  <m:chr m:val="‾"/>
                </m:accPr>
                <m:e>
                  <m:r>
                    <m:t>α</m:t>
                  </m:r>
                </m:e>
              </m:acc>
            </m:e>
            <m:sub>
              <m:r>
                <m:t>i</m:t>
              </m:r>
            </m:sub>
          </m:sSub>
          <m:r>
            <m:rPr>
              <m:sty m:val="p"/>
            </m:rPr>
            <m:t>,</m:t>
          </m:r>
          <m:f>
            <m:fPr>
              <m:type m:val="bar"/>
            </m:fPr>
            <m:num>
              <m:sSup>
                <m:e>
                  <m:r>
                    <m:t>σ</m:t>
                  </m:r>
                </m:e>
                <m:sup>
                  <m:r>
                    <m:t>2</m:t>
                  </m:r>
                </m:sup>
              </m:sSup>
            </m:num>
            <m:den>
              <m:sSub>
                <m:e>
                  <m:r>
                    <m:t>n</m:t>
                  </m:r>
                </m:e>
                <m:sub>
                  <m:r>
                    <m:t>i</m:t>
                  </m:r>
                </m:sub>
              </m:sSub>
            </m:den>
          </m:f>
          <m:r>
            <m:rPr>
              <m:sty m:val="p"/>
            </m:rPr>
            <m:t>)</m:t>
          </m:r>
        </m:oMath>
      </m:oMathPara>
    </w:p>
    <w:p>
      <w:pPr>
        <w:pStyle w:val="FirstParagraph"/>
      </w:pPr>
      <w:r>
        <w:t xml:space="preserve">que hace que el riesgo en cada área se parezca al de sus áreas vecinas. En la expresión anterior</w:t>
      </w:r>
      <w:r>
        <w:t xml:space="preserve"> </w:t>
      </w:r>
      <m:oMath>
        <m:sSub>
          <m:e>
            <m:r>
              <m:t>σ</m:t>
            </m:r>
          </m:e>
          <m:sub>
            <m:r>
              <m:t>i</m:t>
            </m:r>
          </m:sub>
        </m:sSub>
      </m:oMath>
      <w:r>
        <w:t xml:space="preserve"> </w:t>
      </w:r>
      <w:r>
        <w:t xml:space="preserve">se refiere al conjunto de componentes del vector</w:t>
      </w:r>
      <w:r>
        <w:t xml:space="preserve"> </w:t>
      </w:r>
      <m:oMath>
        <m:r>
          <m:t>α</m:t>
        </m:r>
      </m:oMath>
      <w:r>
        <w:t xml:space="preserve"> </w:t>
      </w:r>
      <w:r>
        <w:t xml:space="preserve">excluyendo su i-ésima componente y</w:t>
      </w:r>
      <w:r>
        <w:t xml:space="preserve"> </w:t>
      </w:r>
      <m:oMath>
        <m:sSub>
          <m:e>
            <m:acc>
              <m:accPr>
                <m:chr m:val="‾"/>
              </m:accPr>
              <m:e>
                <m:r>
                  <m:t>α</m:t>
                </m:r>
              </m:e>
            </m:acc>
          </m:e>
          <m:sub>
            <m:r>
              <m:t>i</m:t>
            </m:r>
          </m:sub>
        </m:sSub>
      </m:oMath>
      <w:r>
        <w:t xml:space="preserve"> </w:t>
      </w:r>
      <w:r>
        <w:t xml:space="preserve">se refiere a la media de dicho vector sobre el conjunto de vecinos de la i-ésima área. Por último,</w:t>
      </w:r>
      <w:r>
        <w:t xml:space="preserve"> </w:t>
      </w:r>
      <m:oMath>
        <m:sSub>
          <m:e>
            <m:r>
              <m:t>n</m:t>
            </m:r>
          </m:e>
          <m:sub>
            <m:r>
              <m:t>i</m:t>
            </m:r>
          </m:sub>
        </m:sSub>
      </m:oMath>
      <w:r>
        <w:t xml:space="preserve"> </w:t>
      </w:r>
      <w:r>
        <w:t xml:space="preserve">denota el número de vecinos de la i-ésima área.</w:t>
      </w:r>
    </w:p>
    <w:p>
      <w:pPr>
        <w:pStyle w:val="BodyText"/>
      </w:pPr>
      <w:r>
        <w:t xml:space="preserve">Un efecto aleatorio heterogéneo, independiente para cada área:</w:t>
      </w:r>
    </w:p>
    <w:p>
      <w:pPr>
        <w:pStyle w:val="BodyText"/>
      </w:pPr>
      <m:oMathPara>
        <m:oMathParaPr>
          <m:jc m:val="center"/>
        </m:oMathParaPr>
        <m:oMath>
          <m:sSub>
            <m:e>
              <m:r>
                <m:t>β</m:t>
              </m:r>
            </m:e>
            <m:sub>
              <m:r>
                <m:t>i</m:t>
              </m:r>
            </m:sub>
          </m:sSub>
          <m:r>
            <m:rPr>
              <m:sty m:val="p"/>
            </m:rPr>
            <m:t>|</m:t>
          </m:r>
          <m:r>
            <m:t>τ</m:t>
          </m:r>
          <m:r>
            <m:rPr>
              <m:sty m:val="p"/>
            </m:rPr>
            <m:t>∼</m:t>
          </m:r>
          <m:r>
            <m:t>N</m:t>
          </m:r>
          <m:r>
            <m:rPr>
              <m:sty m:val="p"/>
            </m:rPr>
            <m:t>(</m:t>
          </m:r>
          <m:r>
            <m:t>0</m:t>
          </m:r>
          <m:r>
            <m:rPr>
              <m:sty m:val="p"/>
            </m:rPr>
            <m:t>,</m:t>
          </m:r>
          <m:sSup>
            <m:e>
              <m:r>
                <m:t>τ</m:t>
              </m:r>
            </m:e>
            <m:sup>
              <m:r>
                <m:t>2</m:t>
              </m:r>
            </m:sup>
          </m:sSup>
          <m:r>
            <m:rPr>
              <m:sty m:val="p"/>
            </m:rPr>
            <m:t>)</m:t>
          </m:r>
        </m:oMath>
      </m:oMathPara>
    </w:p>
    <w:p>
      <w:pPr>
        <w:pStyle w:val="FirstParagraph"/>
      </w:pPr>
      <w:r>
        <w:t xml:space="preserve">,</w:t>
      </w:r>
      <w:r>
        <w:t xml:space="preserve"> </w:t>
      </w:r>
      <w:r>
        <w:t xml:space="preserve">que permite que cualquier área presente un comportamiento distinto al de sus vecinos, si así se requiriera.</w:t>
      </w:r>
    </w:p>
    <w:p>
      <w:pPr>
        <w:pStyle w:val="BodyText"/>
      </w:pPr>
      <w:r>
        <w:t xml:space="preserve">Por último, el carácter Bayesiano del modelo propuesto hace necesario que se le den distribuciones iniciales al resto de parámetros que deseemos estimar. Dichas distribuciones iniciales serían las siguientes:</w:t>
      </w:r>
    </w:p>
    <w:p>
      <w:pPr>
        <w:pStyle w:val="BodyText"/>
      </w:pPr>
      <m:oMathPara>
        <m:oMathParaPr>
          <m:jc m:val="center"/>
        </m:oMathParaPr>
        <m:oMath>
          <m:r>
            <m:t>τ</m:t>
          </m:r>
          <m:r>
            <m:rPr>
              <m:sty m:val="p"/>
            </m:rPr>
            <m:t>∼</m:t>
          </m:r>
          <m:r>
            <m:t>U</m:t>
          </m:r>
          <m:r>
            <m:t>n</m:t>
          </m:r>
          <m:r>
            <m:t>i</m:t>
          </m:r>
          <m:r>
            <m:t>f</m:t>
          </m:r>
          <m:r>
            <m:rPr>
              <m:sty m:val="p"/>
            </m:rPr>
            <m:t>(</m:t>
          </m:r>
          <m:r>
            <m:t>0</m:t>
          </m:r>
          <m:r>
            <m:rPr>
              <m:sty m:val="p"/>
            </m:rPr>
            <m:t>,</m:t>
          </m:r>
          <m:r>
            <m:t>100</m:t>
          </m:r>
          <m:r>
            <m:rPr>
              <m:sty m:val="p"/>
            </m:rPr>
            <m:t>)</m:t>
          </m:r>
        </m:oMath>
      </m:oMathPara>
    </w:p>
    <w:p>
      <w:pPr>
        <w:pStyle w:val="FirstParagraph"/>
      </w:pPr>
      <w:r>
        <w:t xml:space="preserve">,</w:t>
      </w:r>
    </w:p>
    <w:p>
      <w:pPr>
        <w:pStyle w:val="BodyText"/>
      </w:pPr>
      <m:oMathPara>
        <m:oMathParaPr>
          <m:jc m:val="center"/>
        </m:oMathParaPr>
        <m:oMath>
          <m:r>
            <m:t>σ</m:t>
          </m:r>
          <m:r>
            <m:rPr>
              <m:sty m:val="p"/>
            </m:rPr>
            <m:t>∼</m:t>
          </m:r>
          <m:r>
            <m:t>U</m:t>
          </m:r>
          <m:r>
            <m:t>n</m:t>
          </m:r>
          <m:r>
            <m:t>i</m:t>
          </m:r>
          <m:r>
            <m:t>f</m:t>
          </m:r>
          <m:r>
            <m:rPr>
              <m:sty m:val="p"/>
            </m:rPr>
            <m:t>(</m:t>
          </m:r>
          <m:r>
            <m:t>0</m:t>
          </m:r>
          <m:r>
            <m:rPr>
              <m:sty m:val="p"/>
            </m:rPr>
            <m:t>,</m:t>
          </m:r>
          <m:r>
            <m:t>100</m:t>
          </m:r>
          <m:r>
            <m:rPr>
              <m:sty m:val="p"/>
            </m:rPr>
            <m:t>)</m:t>
          </m:r>
        </m:oMath>
      </m:oMathPara>
    </w:p>
    <w:p>
      <w:pPr>
        <w:pStyle w:val="FirstParagraph"/>
      </w:pPr>
      <w:r>
        <w:t xml:space="preserve">,</w:t>
      </w:r>
    </w:p>
    <w:p>
      <w:pPr>
        <w:pStyle w:val="BodyText"/>
      </w:pPr>
      <m:oMathPara>
        <m:oMathParaPr>
          <m:jc m:val="center"/>
        </m:oMathParaPr>
        <m:oMath>
          <m:r>
            <m:t>μ</m:t>
          </m:r>
          <m:r>
            <m:rPr>
              <m:sty m:val="p"/>
            </m:rPr>
            <m:t>∼</m:t>
          </m:r>
          <m:r>
            <m:t>U</m:t>
          </m:r>
          <m:r>
            <m:t>n</m:t>
          </m:r>
          <m:r>
            <m:t>i</m:t>
          </m:r>
          <m:r>
            <m:t>f</m:t>
          </m:r>
          <m:r>
            <m:rPr>
              <m:sty m:val="p"/>
            </m:rPr>
            <m:t>(</m:t>
          </m:r>
          <m:r>
            <m:rPr>
              <m:sty m:val="p"/>
            </m:rPr>
            <m:t>−</m:t>
          </m:r>
          <m:r>
            <m:rPr>
              <m:sty m:val="p"/>
            </m:rPr>
            <m:t>∞</m:t>
          </m:r>
          <m:r>
            <m:rPr>
              <m:sty m:val="p"/>
            </m:rPr>
            <m:t>,</m:t>
          </m:r>
          <m:r>
            <m:rPr>
              <m:sty m:val="p"/>
            </m:rPr>
            <m:t>∞</m:t>
          </m:r>
          <m:r>
            <m:rPr>
              <m:sty m:val="p"/>
            </m:rPr>
            <m:t>)</m:t>
          </m:r>
        </m:oMath>
      </m:oMathPara>
    </w:p>
    <w:p>
      <w:pPr>
        <w:pStyle w:val="FirstParagraph"/>
      </w:pPr>
      <w:r>
        <w:t xml:space="preserve">.</w:t>
      </w:r>
    </w:p>
    <w:p>
      <w:pPr>
        <w:pStyle w:val="BodyText"/>
      </w:pPr>
      <w:r>
        <w:t xml:space="preserve">Una vez estimada la distribución a posteriori de las RMEs a partir del modelo que acabamos de describir, calculamos para cada area su media a posteriori y la masa de dicha distribución por encima de 100.</w:t>
      </w:r>
    </w:p>
    <w:bookmarkEnd w:id="87"/>
    <w:bookmarkStart w:id="88" w:name="anexo-ii"/>
    <w:p>
      <w:pPr>
        <w:pStyle w:val="Heading1"/>
      </w:pPr>
      <w:r>
        <w:t xml:space="preserve">ANEXO II</w:t>
      </w:r>
    </w:p>
    <w:p>
      <w:pPr>
        <w:pStyle w:val="FirstParagraph"/>
      </w:pPr>
      <w:r>
        <w:t xml:space="preserve">La información de la mortalidad se obtendrá del registro de mortalidad que se nutre del Boletín Estadístico de Defunción (BED) y del Boletín Estadístico de Parto (BEP) para las defunciones ocurridas durante las primeras 24 horas de vida.</w:t>
      </w:r>
    </w:p>
    <w:p>
      <w:pPr>
        <w:pStyle w:val="BodyText"/>
      </w:pPr>
      <w:r>
        <w:t xml:space="preserve">Ambos ficheros proceden de los registros civiles, y base a un convenio entre el Instituto Nacional de Estadística y el Gobierno de Cantabria, los servicios de Salud Pública de Cantabria codifican la causa de muerte.</w:t>
      </w:r>
    </w:p>
    <w:p>
      <w:pPr>
        <w:pStyle w:val="BodyText"/>
      </w:pPr>
      <w:r>
        <w:t xml:space="preserve">Una de la tareas de proyecto MEDEA III ha sido la de georeferenciar las direcciones del fichero de defunciones del INE una vez codificadas las causas de muerte, para ello se ha elaborado un protocolo de georeferenciación.</w:t>
      </w:r>
    </w:p>
    <w:p>
      <w:pPr>
        <w:pStyle w:val="BodyText"/>
      </w:pPr>
      <w:r>
        <w:t xml:space="preserve">Las herramientas de geocodificación utilizadas en el protocolo son libres y por tanto podían ser usadas por todos los grupos de investigacion. Además, estas herramientas pueden ser usadas tanto a través de la web como desde el software estadístico</w:t>
      </w:r>
      <w:r>
        <w:t xml:space="preserve"> </w:t>
      </w:r>
      <w:r>
        <w:rPr>
          <w:iCs/>
          <w:i/>
        </w:rPr>
        <w:t xml:space="preserve">R</w:t>
      </w:r>
      <w:r>
        <w:t xml:space="preserve">, que automatiza el proceso de llamada a los servicios web que llevan a cabo la geocodificación: Cartociudad y Google.</w:t>
      </w:r>
    </w:p>
    <w:p>
      <w:pPr>
        <w:pStyle w:val="BodyText"/>
      </w:pPr>
      <w:r>
        <w:t xml:space="preserve">En Cantabria se ha elaborado un protocolo propio para georeferenciación estas direcciones, basado en:</w:t>
      </w:r>
    </w:p>
    <w:p>
      <w:pPr>
        <w:pStyle w:val="BodyText"/>
      </w:pPr>
      <w:r>
        <w:t xml:space="preserve">1 Lectura de un fichero masivo con direcciones postales donde, en caso de ser necesario, se lleva a cabo un tratamiento de mejora de la calidad de las direcciones previo a la geocodificación. Es importante destacar que los tratamientos son mínimos porque el geocodificador espera datos correctamente normalizados y procesados por otros componentes desarrollados también en el ICANE.</w:t>
      </w:r>
    </w:p>
    <w:p>
      <w:pPr>
        <w:pStyle w:val="BodyText"/>
      </w:pPr>
      <w:r>
        <w:t xml:space="preserve">2.Geocodificación masiva de las direcciones de forma paralela con cada uno de los proveedores externos de geocodificación seleccionados; en este caso: Google, Cartociudad (versiones antigua y nueva), Bing, Mapbox y Google Places.</w:t>
      </w:r>
    </w:p>
    <w:p>
      <w:pPr>
        <w:pStyle w:val="BodyText"/>
      </w:pPr>
      <w:r>
        <w:t xml:space="preserve">3.Elección de la mejor coordenada de entre todos los proveedores utilizando algoritmos de agrupación o clustering (DBSCAN) y siguiendo un criterio de cercanía al centroide del clúster formado por los proveedores o de selección basado en la mejor correlación de las coordenadas devueltas por un proveedor con las del resto (en caso de no existir suficientes proveedores en el clúster). Para ello se tiene en cuenta si los proveedores son seleccionables como mejor coordenada en términos de licencia.</w:t>
      </w:r>
    </w:p>
    <w:p>
      <w:pPr>
        <w:pStyle w:val="BodyText"/>
      </w:pPr>
      <w:r>
        <w:t xml:space="preserve">4.Generación de estadísticas básicas sobre los datos geocodificados para facilitar un posterior análisis.</w:t>
      </w:r>
    </w:p>
    <w:p>
      <w:pPr>
        <w:pStyle w:val="BodyText"/>
      </w:pPr>
      <w:r>
        <w:t xml:space="preserve">El análisis se realiza según los</w:t>
      </w:r>
      <w:r>
        <w:t xml:space="preserve"> </w:t>
      </w:r>
      <w:r>
        <w:t xml:space="preserve">“</w:t>
      </w:r>
      <w:r>
        <w:t xml:space="preserve">grandes grupos de causas</w:t>
      </w:r>
      <w:r>
        <w:t xml:space="preserve">”</w:t>
      </w:r>
      <w:r>
        <w:t xml:space="preserve"> </w:t>
      </w:r>
      <w:r>
        <w:t xml:space="preserve">consensuada por los distintos grupos del proyecto MEDEA. Se presentan a continuación los grandes grupos y la lista de causas específicas de defunción (opcionales o no), con sus equivalencias de códigos CIE-9 y CIE-10.</w:t>
      </w:r>
    </w:p>
    <w:p>
      <w:pPr>
        <w:pStyle w:val="BodyText"/>
      </w:pPr>
    </w:p>
    <w:p>
      <w:pPr>
        <w:pStyle w:val="BodyText"/>
      </w:pPr>
      <w:r>
        <w:t xml:space="preserve">La tabulación de este fichero por grupos quinquenales de edad, grandes causas y secciones censales, da lugar al fichero de datos observados.</w:t>
      </w:r>
    </w:p>
    <w:p>
      <w:pPr>
        <w:pStyle w:val="BodyText"/>
      </w:pPr>
      <w:r>
        <w:t xml:space="preserve">En segundo lugar se tabula en el padrón municipal de Santander la población del periodo para cada grupo de edad y sección censal, para calculamos las tasas específicas por edad de la ciudad dividiendo los muertos de cierta causa en cada grupo de edad por la población en el grupo de edad.</w:t>
      </w:r>
    </w:p>
    <w:p>
      <w:pPr>
        <w:pStyle w:val="BodyText"/>
      </w:pPr>
      <w:r>
        <w:t xml:space="preserve">Para calcular los esperados por estandarización indirecta debemos multiplicar la población de cada sección censal por edad por las tasas de referencia en ese grupo de edad. Esto equivale a multiplicar la matriz de poblaciones, que contiene tantas filas como secciones censales y tantas columnas como grupos de edad por la matriz de tasas calculada en el apartado anterior.</w:t>
      </w:r>
    </w:p>
    <w:bookmarkEnd w:id="88"/>
    <w:bookmarkStart w:id="89" w:name="bibliografía"/>
    <w:p>
      <w:pPr>
        <w:pStyle w:val="Heading1"/>
      </w:pPr>
      <w:r>
        <w:t xml:space="preserve">Bibliografía</w:t>
      </w:r>
    </w:p>
    <w:p>
      <w:pPr>
        <w:pStyle w:val="FirstParagraph"/>
      </w:pPr>
      <w:r>
        <w:t xml:space="preserve">Eurostat. Revision of the European Standard Population Report of Eurostat’s task force. Luxembourg: Publications Office of the European Union; 2013.</w:t>
      </w:r>
    </w:p>
    <w:p>
      <w:pPr>
        <w:pStyle w:val="BodyText"/>
      </w:pPr>
      <w:r>
        <w:t xml:space="preserve">Besag, J; York, M; Mollié, A. Bayesian Image Restoration, with Two Applications in Spatial Statistics. Annals of the Institute of Statistical Mathematics, 1991, 43, 1-20.</w:t>
      </w:r>
    </w:p>
    <w:p>
      <w:pPr>
        <w:pStyle w:val="BodyText"/>
      </w:pPr>
      <w:r>
        <w:t xml:space="preserve">Dominguez-Berjón et all, 2008 : Construcción de un índice de privación a partir de datos censales en grandes ciudades españolas (Proyecto MEDEA).Gac Sanit vol.22 no.3 Barcelona may./jun. 2008</w:t>
      </w:r>
    </w:p>
    <w:p>
      <w:pPr>
        <w:pStyle w:val="BodyText"/>
      </w:pPr>
      <w:r>
        <w:t xml:space="preserve">Martínez-Beneito, M A; López-Quílez A; Botella-Rocamora P. An autoregressive approach to spatio-temporal disease mapping. Statistics in Medicine, 2008, 27, 2874-2889.</w:t>
      </w:r>
    </w:p>
    <w:bookmarkEnd w:id="89"/>
    <w:bookmarkStart w:id="90" w:name="anexo"/>
    <w:p>
      <w:pPr>
        <w:pStyle w:val="Heading1"/>
      </w:pPr>
      <w:r>
        <w:t xml:space="preserve">Anexo</w:t>
      </w:r>
    </w:p>
    <w:p>
      <w:pPr>
        <w:pStyle w:val="FirstParagraph"/>
      </w:pPr>
      <w:r>
        <w:t xml:space="preserve">HOMBRES</w:t>
      </w:r>
      <w:r>
        <w:t xml:space="preserve"> </w:t>
      </w:r>
      <w:r>
        <w:t xml:space="preserve">1 SIDA</w:t>
      </w:r>
      <w:r>
        <w:t xml:space="preserve"> </w:t>
      </w:r>
      <w:r>
        <w:t xml:space="preserve">2 C. ESTÓMAGO</w:t>
      </w:r>
      <w:r>
        <w:t xml:space="preserve"> </w:t>
      </w:r>
      <w:r>
        <w:t xml:space="preserve">5 C. COLORRECTAL</w:t>
      </w:r>
      <w:r>
        <w:t xml:space="preserve"> </w:t>
      </w:r>
      <w:r>
        <w:t xml:space="preserve">7 C. PULMÓN</w:t>
      </w:r>
      <w:r>
        <w:t xml:space="preserve"> </w:t>
      </w:r>
      <w:r>
        <w:t xml:space="preserve">9 C. PRÓSTATA</w:t>
      </w:r>
      <w:r>
        <w:t xml:space="preserve"> </w:t>
      </w:r>
      <w:r>
        <w:t xml:space="preserve">10 C. VEJIGA</w:t>
      </w:r>
      <w:r>
        <w:t xml:space="preserve"> </w:t>
      </w:r>
      <w:r>
        <w:t xml:space="preserve">11 C. HEMATOLÓGICO</w:t>
      </w:r>
      <w:r>
        <w:t xml:space="preserve"> </w:t>
      </w:r>
      <w:r>
        <w:t xml:space="preserve">12 DIABETES</w:t>
      </w:r>
      <w:r>
        <w:t xml:space="preserve"> </w:t>
      </w:r>
      <w:r>
        <w:t xml:space="preserve">15 DEMENCIA</w:t>
      </w:r>
      <w:r>
        <w:t xml:space="preserve"> </w:t>
      </w:r>
      <w:r>
        <w:t xml:space="preserve">16 CARDIOPATIA ISQUÉMICA</w:t>
      </w:r>
      <w:r>
        <w:t xml:space="preserve"> </w:t>
      </w:r>
      <w:r>
        <w:t xml:space="preserve">17 ICTUS</w:t>
      </w:r>
      <w:r>
        <w:t xml:space="preserve"> </w:t>
      </w:r>
      <w:r>
        <w:t xml:space="preserve">18 EPOC</w:t>
      </w:r>
      <w:r>
        <w:t xml:space="preserve"> </w:t>
      </w:r>
      <w:r>
        <w:t xml:space="preserve">19 CIRROSIS</w:t>
      </w:r>
      <w:r>
        <w:t xml:space="preserve"> </w:t>
      </w:r>
      <w:r>
        <w:t xml:space="preserve">20 SUICIDIO</w:t>
      </w:r>
      <w:r>
        <w:t xml:space="preserve"> </w:t>
      </w:r>
      <w:r>
        <w:t xml:space="preserve">21 ACCIDENTES TRÁFICO</w:t>
      </w:r>
      <w:r>
        <w:t xml:space="preserve"> </w:t>
      </w:r>
      <w:r>
        <w:t xml:space="preserve">c(1,2,5,7,9,10,11,12,15,16,17,18,19,20,21)</w:t>
      </w:r>
      <w:r>
        <w:t xml:space="preserve"> </w:t>
      </w:r>
      <w:r>
        <w:t xml:space="preserve">MUJERES</w:t>
      </w:r>
      <w:r>
        <w:t xml:space="preserve"> </w:t>
      </w:r>
      <w:r>
        <w:t xml:space="preserve">2 C. ESTÓMAGO</w:t>
      </w:r>
      <w:r>
        <w:t xml:space="preserve"> </w:t>
      </w:r>
      <w:r>
        <w:t xml:space="preserve">5 C. COLORRECTAL</w:t>
      </w:r>
      <w:r>
        <w:t xml:space="preserve"> </w:t>
      </w:r>
      <w:r>
        <w:t xml:space="preserve">7 C. PULMÓN</w:t>
      </w:r>
      <w:r>
        <w:t xml:space="preserve"> </w:t>
      </w:r>
      <w:r>
        <w:t xml:space="preserve">8 C. MAMA</w:t>
      </w:r>
      <w:r>
        <w:t xml:space="preserve"> </w:t>
      </w:r>
      <w:r>
        <w:t xml:space="preserve">11 C. HEMATOLÓGICO</w:t>
      </w:r>
      <w:r>
        <w:t xml:space="preserve"> </w:t>
      </w:r>
      <w:r>
        <w:t xml:space="preserve">12 DIABETES</w:t>
      </w:r>
      <w:r>
        <w:t xml:space="preserve"> </w:t>
      </w:r>
      <w:r>
        <w:t xml:space="preserve">15 DEMENCIA</w:t>
      </w:r>
      <w:r>
        <w:t xml:space="preserve"> </w:t>
      </w:r>
      <w:r>
        <w:t xml:space="preserve">16 CARDIOPATIA ISQUÉMICA</w:t>
      </w:r>
      <w:r>
        <w:t xml:space="preserve"> </w:t>
      </w:r>
      <w:r>
        <w:t xml:space="preserve">17 ICTUS</w:t>
      </w:r>
      <w:r>
        <w:t xml:space="preserve"> </w:t>
      </w:r>
      <w:r>
        <w:t xml:space="preserve">18 EPOC</w:t>
      </w:r>
      <w:r>
        <w:t xml:space="preserve"> </w:t>
      </w:r>
      <w:r>
        <w:t xml:space="preserve">19 CIRROSIS</w:t>
      </w:r>
    </w:p>
    <w:p>
      <w:pPr>
        <w:pStyle w:val="BodyText"/>
      </w:pPr>
      <w:r>
        <w:t xml:space="preserve">c(2,5,7,8,11,12,15,16,17,18,19))</w:t>
      </w:r>
    </w:p>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21">
    <w:nsid w:val="47261bad"/>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b3cbbdee"/>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23">
    <w:nsid w:val="4fbe019a"/>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24">
    <w:nsid w:val="91a27d85"/>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27" Target="media/rId27.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36" Target="http://scielo.isciii.es/scielo.php?script=sci_arttext&amp;pid=S0213-91112008000300002" TargetMode="External" /><Relationship Type="http://schemas.openxmlformats.org/officeDocument/2006/relationships/hyperlink" Id="rId21" Target="http://www.math.ntnu.no/inla/givemeINLA.R" TargetMode="External" /><Relationship Type="http://schemas.openxmlformats.org/officeDocument/2006/relationships/hyperlink" Id="rId38" Target="https://www.mitma.gob.es/areas-de-actividad/arquitectura-vivienda-y-suelo/urbanismo-y-politica-de-suelo/observatorio-de-la-vulnerabilidad-urbana/atlas-de-la-vulnerabilidad-urbana/atlas-de-las-vulnerabilidad-urbana-en-espan%CC%83a" TargetMode="External" /></Relationships>
</file>

<file path=word/_rels/footnotes.xml.rels><?xml version="1.0" encoding="UTF-8"?>
<Relationships xmlns="http://schemas.openxmlformats.org/package/2006/relationships"><Relationship Type="http://schemas.openxmlformats.org/officeDocument/2006/relationships/hyperlink" Id="rId36" Target="http://scielo.isciii.es/scielo.php?script=sci_arttext&amp;pid=S0213-91112008000300002" TargetMode="External" /><Relationship Type="http://schemas.openxmlformats.org/officeDocument/2006/relationships/hyperlink" Id="rId21" Target="http://www.math.ntnu.no/inla/givemeINLA.R" TargetMode="External" /><Relationship Type="http://schemas.openxmlformats.org/officeDocument/2006/relationships/hyperlink" Id="rId38" Target="https://www.mitma.gob.es/areas-de-actividad/arquitectura-vivienda-y-suelo/urbanismo-y-politica-de-suelo/observatorio-de-la-vulnerabilidad-urbana/atlas-de-la-vulnerabilidad-urbana/atlas-de-las-vulnerabilidad-urbana-en-espan%CC%83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Efectos de la Privación en la Mortalidad del Municipio de Santander</dc:title>
  <dc:creator>Francisco Parra</dc:creator>
  <cp:keywords/>
  <dcterms:created xsi:type="dcterms:W3CDTF">2021-04-20T11:29:48Z</dcterms:created>
  <dcterms:modified xsi:type="dcterms:W3CDTF">2021-04-20T11:29:48Z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 de Octubre de 2020</vt:lpwstr>
  </property>
  <property fmtid="{D5CDD505-2E9C-101B-9397-08002B2CF9AE}" pid="3" name="output">
    <vt:lpwstr/>
  </property>
</Properties>
</file>