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0"/>
        <w:ind w:right="1476"/>
      </w:pPr>
      <w:r>
        <w:rPr/>
        <w:t>Program:</w:t>
      </w:r>
      <w:r>
        <w:rPr>
          <w:spacing w:val="-6"/>
        </w:rPr>
        <w:t> </w:t>
      </w:r>
      <w:r>
        <w:rPr/>
        <w:t>Software</w:t>
      </w:r>
      <w:r>
        <w:rPr>
          <w:spacing w:val="-6"/>
        </w:rPr>
        <w:t> </w:t>
      </w:r>
      <w:r>
        <w:rPr/>
        <w:t>Engineering</w:t>
      </w:r>
      <w:r>
        <w:rPr>
          <w:spacing w:val="-6"/>
        </w:rPr>
        <w:t> </w:t>
      </w:r>
      <w:r>
        <w:rPr/>
        <w:t>&amp;</w:t>
      </w:r>
      <w:r>
        <w:rPr>
          <w:spacing w:val="-6"/>
        </w:rPr>
        <w:t> </w:t>
      </w:r>
      <w:r>
        <w:rPr/>
        <w:t>Information</w:t>
      </w:r>
      <w:r>
        <w:rPr>
          <w:spacing w:val="-6"/>
        </w:rPr>
        <w:t> </w:t>
      </w:r>
      <w:r>
        <w:rPr/>
        <w:t>Systems</w:t>
      </w:r>
      <w:r>
        <w:rPr>
          <w:spacing w:val="-6"/>
        </w:rPr>
        <w:t> </w:t>
      </w:r>
      <w:r>
        <w:rPr/>
        <w:t>Bachelor</w:t>
      </w:r>
      <w:r>
        <w:rPr>
          <w:spacing w:val="-6"/>
        </w:rPr>
        <w:t> </w:t>
      </w:r>
      <w:r>
        <w:rPr/>
        <w:t>Programs Professor: Marco Paludo</w:t>
      </w:r>
    </w:p>
    <w:p>
      <w:pPr>
        <w:pStyle w:val="BodyText"/>
        <w:spacing w:before="1"/>
        <w:ind w:right="4351"/>
      </w:pPr>
      <w:r>
        <w:rPr/>
        <w:t>Course:</w:t>
      </w:r>
      <w:r>
        <w:rPr>
          <w:spacing w:val="-13"/>
        </w:rPr>
        <w:t> </w:t>
      </w:r>
      <w:r>
        <w:rPr/>
        <w:t>Information</w:t>
      </w:r>
      <w:r>
        <w:rPr>
          <w:spacing w:val="-12"/>
        </w:rPr>
        <w:t> </w:t>
      </w:r>
      <w:r>
        <w:rPr/>
        <w:t>Technology</w:t>
      </w:r>
      <w:r>
        <w:rPr>
          <w:spacing w:val="-13"/>
        </w:rPr>
        <w:t> </w:t>
      </w:r>
      <w:r>
        <w:rPr/>
        <w:t>Management Hours used for this TDE: 2h</w:t>
      </w:r>
    </w:p>
    <w:p>
      <w:pPr>
        <w:pStyle w:val="BodyText"/>
      </w:pPr>
      <w:r>
        <w:rPr/>
        <w:t>Dates:</w:t>
      </w:r>
      <w:r>
        <w:rPr>
          <w:spacing w:val="-5"/>
        </w:rPr>
        <w:t> </w:t>
      </w:r>
      <w:r>
        <w:rPr/>
        <w:t>From</w:t>
      </w:r>
      <w:r>
        <w:rPr>
          <w:spacing w:val="-4"/>
        </w:rPr>
        <w:t> </w:t>
      </w:r>
      <w:r>
        <w:rPr/>
        <w:t>March</w:t>
      </w:r>
      <w:r>
        <w:rPr>
          <w:spacing w:val="-4"/>
        </w:rPr>
        <w:t> </w:t>
      </w:r>
      <w:r>
        <w:rPr/>
        <w:t>7</w:t>
      </w:r>
      <w:r>
        <w:rPr>
          <w:vertAlign w:val="superscript"/>
        </w:rPr>
        <w:t>th</w:t>
      </w:r>
      <w:r>
        <w:rPr>
          <w:spacing w:val="-3"/>
          <w:vertAlign w:val="baseline"/>
        </w:rPr>
        <w:t> </w:t>
      </w:r>
      <w:r>
        <w:rPr>
          <w:vertAlign w:val="baseline"/>
        </w:rPr>
        <w:t>to</w:t>
      </w:r>
      <w:r>
        <w:rPr>
          <w:spacing w:val="-5"/>
          <w:vertAlign w:val="baseline"/>
        </w:rPr>
        <w:t> </w:t>
      </w:r>
      <w:r>
        <w:rPr>
          <w:vertAlign w:val="baseline"/>
        </w:rPr>
        <w:t>March</w:t>
      </w:r>
      <w:r>
        <w:rPr>
          <w:spacing w:val="-4"/>
          <w:vertAlign w:val="baseline"/>
        </w:rPr>
        <w:t> 13</w:t>
      </w:r>
      <w:r>
        <w:rPr>
          <w:spacing w:val="-4"/>
          <w:vertAlign w:val="superscript"/>
        </w:rPr>
        <w:t>th</w:t>
      </w:r>
    </w:p>
    <w:p>
      <w:pPr>
        <w:pStyle w:val="BodyText"/>
        <w:spacing w:before="1"/>
        <w:ind w:left="0"/>
      </w:pPr>
    </w:p>
    <w:p>
      <w:pPr>
        <w:spacing w:line="480" w:lineRule="auto" w:before="0"/>
        <w:ind w:left="110" w:right="3398" w:firstLine="0"/>
        <w:jc w:val="both"/>
        <w:rPr>
          <w:sz w:val="22"/>
        </w:rPr>
      </w:pPr>
      <w:r>
        <w:rPr>
          <w:sz w:val="22"/>
        </w:rPr>
        <w:t>Supporting</w:t>
      </w:r>
      <w:r>
        <w:rPr>
          <w:spacing w:val="-13"/>
          <w:sz w:val="22"/>
        </w:rPr>
        <w:t> </w:t>
      </w:r>
      <w:r>
        <w:rPr>
          <w:sz w:val="22"/>
        </w:rPr>
        <w:t>Documents:</w:t>
      </w:r>
      <w:r>
        <w:rPr>
          <w:spacing w:val="-12"/>
          <w:sz w:val="22"/>
        </w:rPr>
        <w:t> </w:t>
      </w:r>
      <w:r>
        <w:rPr>
          <w:sz w:val="22"/>
        </w:rPr>
        <w:t>“</w:t>
      </w:r>
      <w:r>
        <w:rPr>
          <w:b/>
          <w:sz w:val="22"/>
        </w:rPr>
        <w:t>ITM-02-COBIT-5_res_eng_1012.pdf</w:t>
      </w:r>
      <w:r>
        <w:rPr>
          <w:sz w:val="22"/>
        </w:rPr>
        <w:t>” Task to be performed:</w:t>
      </w:r>
    </w:p>
    <w:p>
      <w:pPr>
        <w:pStyle w:val="BodyText"/>
        <w:ind w:right="105"/>
        <w:jc w:val="both"/>
      </w:pPr>
      <w:r>
        <w:rPr/>
        <w:t>Every</w:t>
      </w:r>
      <w:r>
        <w:rPr>
          <w:spacing w:val="-13"/>
        </w:rPr>
        <w:t> </w:t>
      </w:r>
      <w:r>
        <w:rPr/>
        <w:t>student</w:t>
      </w:r>
      <w:r>
        <w:rPr>
          <w:spacing w:val="-12"/>
        </w:rPr>
        <w:t> </w:t>
      </w:r>
      <w:r>
        <w:rPr/>
        <w:t>will</w:t>
      </w:r>
      <w:r>
        <w:rPr>
          <w:spacing w:val="-12"/>
        </w:rPr>
        <w:t> </w:t>
      </w:r>
      <w:r>
        <w:rPr/>
        <w:t>have</w:t>
      </w:r>
      <w:r>
        <w:rPr>
          <w:spacing w:val="-13"/>
        </w:rPr>
        <w:t> </w:t>
      </w:r>
      <w:r>
        <w:rPr/>
        <w:t>to</w:t>
      </w:r>
      <w:r>
        <w:rPr>
          <w:spacing w:val="-12"/>
        </w:rPr>
        <w:t> </w:t>
      </w:r>
      <w:r>
        <w:rPr/>
        <w:t>read</w:t>
      </w:r>
      <w:r>
        <w:rPr>
          <w:spacing w:val="-12"/>
        </w:rPr>
        <w:t> </w:t>
      </w:r>
      <w:r>
        <w:rPr/>
        <w:t>the</w:t>
      </w:r>
      <w:r>
        <w:rPr>
          <w:spacing w:val="-13"/>
        </w:rPr>
        <w:t> </w:t>
      </w:r>
      <w:r>
        <w:rPr/>
        <w:t>part</w:t>
      </w:r>
      <w:r>
        <w:rPr>
          <w:spacing w:val="-12"/>
        </w:rPr>
        <w:t> </w:t>
      </w:r>
      <w:r>
        <w:rPr/>
        <w:t>of</w:t>
      </w:r>
      <w:r>
        <w:rPr>
          <w:spacing w:val="-12"/>
        </w:rPr>
        <w:t> </w:t>
      </w:r>
      <w:r>
        <w:rPr/>
        <w:t>the</w:t>
      </w:r>
      <w:r>
        <w:rPr>
          <w:spacing w:val="-13"/>
        </w:rPr>
        <w:t> </w:t>
      </w:r>
      <w:r>
        <w:rPr/>
        <w:t>document</w:t>
      </w:r>
      <w:r>
        <w:rPr>
          <w:spacing w:val="-12"/>
        </w:rPr>
        <w:t> </w:t>
      </w:r>
      <w:r>
        <w:rPr/>
        <w:t>“ITM-02-COBIT-5_res_eng_1012.pdf”,</w:t>
      </w:r>
      <w:r>
        <w:rPr>
          <w:spacing w:val="-12"/>
        </w:rPr>
        <w:t> </w:t>
      </w:r>
      <w:r>
        <w:rPr/>
        <w:t>that is</w:t>
      </w:r>
      <w:r>
        <w:rPr>
          <w:spacing w:val="-1"/>
        </w:rPr>
        <w:t> </w:t>
      </w:r>
      <w:r>
        <w:rPr/>
        <w:t>the</w:t>
      </w:r>
      <w:r>
        <w:rPr>
          <w:spacing w:val="-1"/>
        </w:rPr>
        <w:t> </w:t>
      </w:r>
      <w:r>
        <w:rPr/>
        <w:t>specification</w:t>
      </w:r>
      <w:r>
        <w:rPr>
          <w:spacing w:val="-1"/>
        </w:rPr>
        <w:t> </w:t>
      </w:r>
      <w:r>
        <w:rPr/>
        <w:t>of</w:t>
      </w:r>
      <w:r>
        <w:rPr>
          <w:spacing w:val="-1"/>
        </w:rPr>
        <w:t> </w:t>
      </w:r>
      <w:r>
        <w:rPr/>
        <w:t>COBIT</w:t>
      </w:r>
      <w:r>
        <w:rPr>
          <w:spacing w:val="-1"/>
        </w:rPr>
        <w:t> </w:t>
      </w:r>
      <w:r>
        <w:rPr/>
        <w:t>5</w:t>
      </w:r>
      <w:r>
        <w:rPr>
          <w:spacing w:val="-1"/>
        </w:rPr>
        <w:t> </w:t>
      </w:r>
      <w:r>
        <w:rPr/>
        <w:t>considering</w:t>
      </w:r>
      <w:r>
        <w:rPr>
          <w:spacing w:val="-1"/>
        </w:rPr>
        <w:t> </w:t>
      </w:r>
      <w:r>
        <w:rPr/>
        <w:t>pages</w:t>
      </w:r>
      <w:r>
        <w:rPr>
          <w:spacing w:val="-1"/>
        </w:rPr>
        <w:t> </w:t>
      </w:r>
      <w:r>
        <w:rPr/>
        <w:t>17, 18</w:t>
      </w:r>
      <w:r>
        <w:rPr>
          <w:spacing w:val="-1"/>
        </w:rPr>
        <w:t> </w:t>
      </w:r>
      <w:r>
        <w:rPr/>
        <w:t>and</w:t>
      </w:r>
      <w:r>
        <w:rPr>
          <w:spacing w:val="-1"/>
        </w:rPr>
        <w:t> </w:t>
      </w:r>
      <w:r>
        <w:rPr/>
        <w:t>20. This</w:t>
      </w:r>
      <w:r>
        <w:rPr>
          <w:spacing w:val="-1"/>
        </w:rPr>
        <w:t> </w:t>
      </w:r>
      <w:r>
        <w:rPr/>
        <w:t>is</w:t>
      </w:r>
      <w:r>
        <w:rPr>
          <w:spacing w:val="-1"/>
        </w:rPr>
        <w:t> </w:t>
      </w:r>
      <w:r>
        <w:rPr/>
        <w:t>the</w:t>
      </w:r>
      <w:r>
        <w:rPr>
          <w:spacing w:val="-1"/>
        </w:rPr>
        <w:t> </w:t>
      </w:r>
      <w:r>
        <w:rPr/>
        <w:t>Goals</w:t>
      </w:r>
      <w:r>
        <w:rPr>
          <w:spacing w:val="-1"/>
        </w:rPr>
        <w:t> </w:t>
      </w:r>
      <w:r>
        <w:rPr/>
        <w:t>Cascade</w:t>
      </w:r>
      <w:r>
        <w:rPr>
          <w:spacing w:val="-1"/>
        </w:rPr>
        <w:t> </w:t>
      </w:r>
      <w:r>
        <w:rPr/>
        <w:t>section. It is very important to consider the </w:t>
      </w:r>
      <w:r>
        <w:rPr>
          <w:b/>
        </w:rPr>
        <w:t>guiding questions beforehand</w:t>
      </w:r>
      <w:r>
        <w:rPr/>
        <w:t>.</w:t>
      </w:r>
    </w:p>
    <w:p>
      <w:pPr>
        <w:pStyle w:val="BodyText"/>
        <w:spacing w:before="266"/>
        <w:ind w:right="108"/>
        <w:jc w:val="both"/>
      </w:pPr>
      <w:r>
        <w:rPr/>
        <w:t>Alignment of TDE with synchronous meetings and study plan: During the classes of March 7</w:t>
      </w:r>
      <w:r>
        <w:rPr>
          <w:vertAlign w:val="superscript"/>
        </w:rPr>
        <w:t>th</w:t>
      </w:r>
      <w:r>
        <w:rPr>
          <w:vertAlign w:val="baseline"/>
        </w:rPr>
        <w:t> and 12</w:t>
      </w:r>
      <w:r>
        <w:rPr>
          <w:vertAlign w:val="superscript"/>
        </w:rPr>
        <w:t>th</w:t>
      </w:r>
      <w:r>
        <w:rPr>
          <w:vertAlign w:val="baseline"/>
        </w:rPr>
        <w:t>,</w:t>
      </w:r>
      <w:r>
        <w:rPr>
          <w:spacing w:val="-2"/>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open</w:t>
      </w:r>
      <w:r>
        <w:rPr>
          <w:spacing w:val="-3"/>
          <w:vertAlign w:val="baseline"/>
        </w:rPr>
        <w:t> </w:t>
      </w:r>
      <w:r>
        <w:rPr>
          <w:vertAlign w:val="baseline"/>
        </w:rPr>
        <w:t>a</w:t>
      </w:r>
      <w:r>
        <w:rPr>
          <w:spacing w:val="-2"/>
          <w:vertAlign w:val="baseline"/>
        </w:rPr>
        <w:t> </w:t>
      </w:r>
      <w:r>
        <w:rPr>
          <w:vertAlign w:val="baseline"/>
        </w:rPr>
        <w:t>discussion</w:t>
      </w:r>
      <w:r>
        <w:rPr>
          <w:spacing w:val="-3"/>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progress</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activity,</w:t>
      </w:r>
      <w:r>
        <w:rPr>
          <w:spacing w:val="-2"/>
          <w:vertAlign w:val="baseline"/>
        </w:rPr>
        <w:t> </w:t>
      </w:r>
      <w:r>
        <w:rPr>
          <w:vertAlign w:val="baseline"/>
        </w:rPr>
        <w:t>in</w:t>
      </w:r>
      <w:r>
        <w:rPr>
          <w:spacing w:val="-3"/>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clarify</w:t>
      </w:r>
      <w:r>
        <w:rPr>
          <w:spacing w:val="-2"/>
          <w:vertAlign w:val="baseline"/>
        </w:rPr>
        <w:t> </w:t>
      </w:r>
      <w:r>
        <w:rPr>
          <w:vertAlign w:val="baseline"/>
        </w:rPr>
        <w:t>doubts</w:t>
      </w:r>
      <w:r>
        <w:rPr>
          <w:spacing w:val="-2"/>
          <w:vertAlign w:val="baseline"/>
        </w:rPr>
        <w:t> </w:t>
      </w:r>
      <w:r>
        <w:rPr>
          <w:vertAlign w:val="baseline"/>
        </w:rPr>
        <w:t>of</w:t>
      </w:r>
      <w:r>
        <w:rPr>
          <w:spacing w:val="-2"/>
          <w:vertAlign w:val="baseline"/>
        </w:rPr>
        <w:t> </w:t>
      </w:r>
      <w:r>
        <w:rPr>
          <w:vertAlign w:val="baseline"/>
        </w:rPr>
        <w:t>students and align the understanding of what is necessary to be done and read. All matters discussed here are component parts of the first Learning Outcome (RA).</w:t>
      </w:r>
    </w:p>
    <w:p>
      <w:pPr>
        <w:pStyle w:val="BodyText"/>
        <w:spacing w:before="1"/>
        <w:ind w:left="0"/>
      </w:pPr>
    </w:p>
    <w:p>
      <w:pPr>
        <w:pStyle w:val="BodyText"/>
        <w:jc w:val="both"/>
      </w:pPr>
      <w:r>
        <w:rPr/>
        <w:t>Learning</w:t>
      </w:r>
      <w:r>
        <w:rPr>
          <w:spacing w:val="-9"/>
        </w:rPr>
        <w:t> </w:t>
      </w:r>
      <w:r>
        <w:rPr/>
        <w:t>outcomes</w:t>
      </w:r>
      <w:r>
        <w:rPr>
          <w:spacing w:val="-9"/>
        </w:rPr>
        <w:t> </w:t>
      </w:r>
      <w:r>
        <w:rPr/>
        <w:t>assessment</w:t>
      </w:r>
      <w:r>
        <w:rPr>
          <w:spacing w:val="-8"/>
        </w:rPr>
        <w:t> </w:t>
      </w:r>
      <w:r>
        <w:rPr>
          <w:spacing w:val="-2"/>
        </w:rPr>
        <w:t>procedures:</w:t>
      </w:r>
    </w:p>
    <w:p>
      <w:pPr>
        <w:pStyle w:val="BodyText"/>
        <w:ind w:right="109"/>
        <w:jc w:val="both"/>
      </w:pPr>
      <w:r>
        <w:rPr/>
        <w:t>We</w:t>
      </w:r>
      <w:r>
        <w:rPr>
          <w:spacing w:val="-2"/>
        </w:rPr>
        <w:t> </w:t>
      </w:r>
      <w:r>
        <w:rPr/>
        <w:t>will</w:t>
      </w:r>
      <w:r>
        <w:rPr>
          <w:spacing w:val="-2"/>
        </w:rPr>
        <w:t> </w:t>
      </w:r>
      <w:r>
        <w:rPr/>
        <w:t>have</w:t>
      </w:r>
      <w:r>
        <w:rPr>
          <w:spacing w:val="-2"/>
        </w:rPr>
        <w:t> </w:t>
      </w:r>
      <w:r>
        <w:rPr/>
        <w:t>two</w:t>
      </w:r>
      <w:r>
        <w:rPr>
          <w:spacing w:val="-2"/>
        </w:rPr>
        <w:t> </w:t>
      </w:r>
      <w:r>
        <w:rPr/>
        <w:t>moments</w:t>
      </w:r>
      <w:r>
        <w:rPr>
          <w:spacing w:val="-2"/>
        </w:rPr>
        <w:t> </w:t>
      </w:r>
      <w:r>
        <w:rPr/>
        <w:t>when</w:t>
      </w:r>
      <w:r>
        <w:rPr>
          <w:spacing w:val="-2"/>
        </w:rPr>
        <w:t> </w:t>
      </w:r>
      <w:r>
        <w:rPr/>
        <w:t>we</w:t>
      </w:r>
      <w:r>
        <w:rPr>
          <w:spacing w:val="-2"/>
        </w:rPr>
        <w:t> </w:t>
      </w:r>
      <w:r>
        <w:rPr/>
        <w:t>will</w:t>
      </w:r>
      <w:r>
        <w:rPr>
          <w:spacing w:val="-2"/>
        </w:rPr>
        <w:t> </w:t>
      </w:r>
      <w:r>
        <w:rPr/>
        <w:t>promote</w:t>
      </w:r>
      <w:r>
        <w:rPr>
          <w:spacing w:val="-2"/>
        </w:rPr>
        <w:t> </w:t>
      </w:r>
      <w:r>
        <w:rPr/>
        <w:t>the</w:t>
      </w:r>
      <w:r>
        <w:rPr>
          <w:spacing w:val="-2"/>
        </w:rPr>
        <w:t> </w:t>
      </w:r>
      <w:r>
        <w:rPr/>
        <w:t>assessment</w:t>
      </w:r>
      <w:r>
        <w:rPr>
          <w:spacing w:val="-2"/>
        </w:rPr>
        <w:t> </w:t>
      </w:r>
      <w:r>
        <w:rPr/>
        <w:t>of</w:t>
      </w:r>
      <w:r>
        <w:rPr>
          <w:spacing w:val="-2"/>
        </w:rPr>
        <w:t> </w:t>
      </w:r>
      <w:r>
        <w:rPr/>
        <w:t>this</w:t>
      </w:r>
      <w:r>
        <w:rPr>
          <w:spacing w:val="-2"/>
        </w:rPr>
        <w:t> </w:t>
      </w:r>
      <w:r>
        <w:rPr/>
        <w:t>activity.</w:t>
      </w:r>
      <w:r>
        <w:rPr>
          <w:spacing w:val="-2"/>
        </w:rPr>
        <w:t> </w:t>
      </w:r>
      <w:r>
        <w:rPr/>
        <w:t>The</w:t>
      </w:r>
      <w:r>
        <w:rPr>
          <w:spacing w:val="-2"/>
        </w:rPr>
        <w:t> </w:t>
      </w:r>
      <w:r>
        <w:rPr/>
        <w:t>first</w:t>
      </w:r>
      <w:r>
        <w:rPr>
          <w:spacing w:val="-2"/>
        </w:rPr>
        <w:t> </w:t>
      </w:r>
      <w:r>
        <w:rPr/>
        <w:t>one</w:t>
      </w:r>
      <w:r>
        <w:rPr>
          <w:spacing w:val="-2"/>
        </w:rPr>
        <w:t> </w:t>
      </w:r>
      <w:r>
        <w:rPr/>
        <w:t>will occur when considering the individual answers to the “guiding questions”.</w:t>
      </w:r>
    </w:p>
    <w:p>
      <w:pPr>
        <w:pStyle w:val="BodyText"/>
        <w:spacing w:before="1"/>
        <w:ind w:left="0"/>
      </w:pPr>
    </w:p>
    <w:p>
      <w:pPr>
        <w:pStyle w:val="BodyText"/>
        <w:ind w:right="104"/>
        <w:jc w:val="both"/>
      </w:pPr>
      <w:r>
        <w:rPr/>
        <w:t>Following, the students will post their individual answers, that will be used to guide the next class, when we will have some discussions on the COBIT5 Goals Cascade and will use an automated tool to answer conceptual questions, first individually and after in pairs.</w:t>
      </w:r>
    </w:p>
    <w:p>
      <w:pPr>
        <w:pStyle w:val="BodyText"/>
        <w:spacing w:before="1"/>
        <w:ind w:left="0"/>
      </w:pPr>
    </w:p>
    <w:p>
      <w:pPr>
        <w:pStyle w:val="BodyText"/>
      </w:pPr>
      <w:r>
        <w:rPr>
          <w:spacing w:val="-2"/>
        </w:rPr>
        <w:t>Schedule:</w:t>
      </w:r>
    </w:p>
    <w:p>
      <w:pPr>
        <w:pStyle w:val="BodyText"/>
        <w:spacing w:line="237" w:lineRule="auto" w:before="2"/>
      </w:pPr>
      <w:r>
        <w:rPr/>
        <w:t>March</w:t>
      </w:r>
      <w:r>
        <w:rPr>
          <w:spacing w:val="-7"/>
        </w:rPr>
        <w:t> </w:t>
      </w:r>
      <w:r>
        <w:rPr/>
        <w:t>7th</w:t>
      </w:r>
      <w:r>
        <w:rPr>
          <w:spacing w:val="-7"/>
        </w:rPr>
        <w:t> </w:t>
      </w:r>
      <w:r>
        <w:rPr/>
        <w:t>–</w:t>
      </w:r>
      <w:r>
        <w:rPr>
          <w:spacing w:val="-7"/>
        </w:rPr>
        <w:t> </w:t>
      </w:r>
      <w:r>
        <w:rPr/>
        <w:t>I</w:t>
      </w:r>
      <w:r>
        <w:rPr>
          <w:spacing w:val="-7"/>
        </w:rPr>
        <w:t> </w:t>
      </w:r>
      <w:r>
        <w:rPr/>
        <w:t>will</w:t>
      </w:r>
      <w:r>
        <w:rPr>
          <w:spacing w:val="-7"/>
        </w:rPr>
        <w:t> </w:t>
      </w:r>
      <w:r>
        <w:rPr/>
        <w:t>be</w:t>
      </w:r>
      <w:r>
        <w:rPr>
          <w:spacing w:val="-7"/>
        </w:rPr>
        <w:t> </w:t>
      </w:r>
      <w:r>
        <w:rPr/>
        <w:t>available</w:t>
      </w:r>
      <w:r>
        <w:rPr>
          <w:spacing w:val="-7"/>
        </w:rPr>
        <w:t> </w:t>
      </w:r>
      <w:r>
        <w:rPr/>
        <w:t>to</w:t>
      </w:r>
      <w:r>
        <w:rPr>
          <w:spacing w:val="-7"/>
        </w:rPr>
        <w:t> </w:t>
      </w:r>
      <w:r>
        <w:rPr/>
        <w:t>clarify</w:t>
      </w:r>
      <w:r>
        <w:rPr>
          <w:spacing w:val="-6"/>
        </w:rPr>
        <w:t> </w:t>
      </w:r>
      <w:r>
        <w:rPr/>
        <w:t>doubts</w:t>
      </w:r>
      <w:r>
        <w:rPr>
          <w:spacing w:val="-7"/>
        </w:rPr>
        <w:t> </w:t>
      </w:r>
      <w:r>
        <w:rPr/>
        <w:t>and</w:t>
      </w:r>
      <w:r>
        <w:rPr>
          <w:spacing w:val="-7"/>
        </w:rPr>
        <w:t> </w:t>
      </w:r>
      <w:r>
        <w:rPr/>
        <w:t>address</w:t>
      </w:r>
      <w:r>
        <w:rPr>
          <w:spacing w:val="-7"/>
        </w:rPr>
        <w:t> </w:t>
      </w:r>
      <w:r>
        <w:rPr/>
        <w:t>main</w:t>
      </w:r>
      <w:r>
        <w:rPr>
          <w:spacing w:val="-7"/>
        </w:rPr>
        <w:t> </w:t>
      </w:r>
      <w:r>
        <w:rPr/>
        <w:t>difficulties</w:t>
      </w:r>
      <w:r>
        <w:rPr>
          <w:spacing w:val="-7"/>
        </w:rPr>
        <w:t> </w:t>
      </w:r>
      <w:r>
        <w:rPr/>
        <w:t>to</w:t>
      </w:r>
      <w:r>
        <w:rPr>
          <w:spacing w:val="-7"/>
        </w:rPr>
        <w:t> </w:t>
      </w:r>
      <w:r>
        <w:rPr/>
        <w:t>perform</w:t>
      </w:r>
      <w:r>
        <w:rPr>
          <w:spacing w:val="-7"/>
        </w:rPr>
        <w:t> </w:t>
      </w:r>
      <w:r>
        <w:rPr/>
        <w:t>the</w:t>
      </w:r>
      <w:r>
        <w:rPr>
          <w:spacing w:val="-7"/>
        </w:rPr>
        <w:t> </w:t>
      </w:r>
      <w:r>
        <w:rPr/>
        <w:t>activity; </w:t>
      </w:r>
      <w:r>
        <w:rPr>
          <w:color w:val="000000"/>
          <w:highlight w:val="yellow"/>
        </w:rPr>
        <w:t>March 13th 23:59</w:t>
      </w:r>
      <w:r>
        <w:rPr>
          <w:color w:val="000000"/>
        </w:rPr>
        <w:t> – Posting in AVA the individual answers to the guiding questions (mandatory); March</w:t>
      </w:r>
      <w:r>
        <w:rPr>
          <w:color w:val="000000"/>
          <w:spacing w:val="40"/>
        </w:rPr>
        <w:t> </w:t>
      </w:r>
      <w:r>
        <w:rPr>
          <w:color w:val="000000"/>
        </w:rPr>
        <w:t>14th</w:t>
      </w:r>
      <w:r>
        <w:rPr>
          <w:color w:val="000000"/>
          <w:spacing w:val="40"/>
        </w:rPr>
        <w:t> </w:t>
      </w:r>
      <w:r>
        <w:rPr>
          <w:color w:val="000000"/>
        </w:rPr>
        <w:t>-</w:t>
      </w:r>
      <w:r>
        <w:rPr>
          <w:color w:val="000000"/>
          <w:spacing w:val="40"/>
        </w:rPr>
        <w:t> </w:t>
      </w:r>
      <w:r>
        <w:rPr>
          <w:color w:val="000000"/>
        </w:rPr>
        <w:t>Discussion</w:t>
      </w:r>
      <w:r>
        <w:rPr>
          <w:color w:val="000000"/>
          <w:spacing w:val="40"/>
        </w:rPr>
        <w:t> </w:t>
      </w:r>
      <w:r>
        <w:rPr>
          <w:color w:val="000000"/>
        </w:rPr>
        <w:t>using</w:t>
      </w:r>
      <w:r>
        <w:rPr>
          <w:color w:val="000000"/>
          <w:spacing w:val="40"/>
        </w:rPr>
        <w:t> </w:t>
      </w:r>
      <w:r>
        <w:rPr>
          <w:color w:val="000000"/>
        </w:rPr>
        <w:t>Socrative</w:t>
      </w:r>
      <w:r>
        <w:rPr>
          <w:color w:val="000000"/>
          <w:spacing w:val="40"/>
        </w:rPr>
        <w:t> </w:t>
      </w:r>
      <w:r>
        <w:rPr>
          <w:color w:val="000000"/>
        </w:rPr>
        <w:t>and</w:t>
      </w:r>
      <w:r>
        <w:rPr>
          <w:color w:val="000000"/>
          <w:spacing w:val="40"/>
        </w:rPr>
        <w:t> </w:t>
      </w:r>
      <w:r>
        <w:rPr>
          <w:color w:val="000000"/>
        </w:rPr>
        <w:t>other</w:t>
      </w:r>
      <w:r>
        <w:rPr>
          <w:color w:val="000000"/>
          <w:spacing w:val="40"/>
        </w:rPr>
        <w:t> </w:t>
      </w:r>
      <w:r>
        <w:rPr>
          <w:color w:val="000000"/>
        </w:rPr>
        <w:t>tools</w:t>
      </w:r>
      <w:r>
        <w:rPr>
          <w:color w:val="000000"/>
          <w:spacing w:val="40"/>
        </w:rPr>
        <w:t> </w:t>
      </w:r>
      <w:r>
        <w:rPr>
          <w:color w:val="000000"/>
        </w:rPr>
        <w:t>to</w:t>
      </w:r>
      <w:r>
        <w:rPr>
          <w:color w:val="000000"/>
          <w:spacing w:val="40"/>
        </w:rPr>
        <w:t> </w:t>
      </w:r>
      <w:r>
        <w:rPr>
          <w:color w:val="000000"/>
        </w:rPr>
        <w:t>answer</w:t>
      </w:r>
      <w:r>
        <w:rPr>
          <w:color w:val="000000"/>
          <w:spacing w:val="40"/>
        </w:rPr>
        <w:t> </w:t>
      </w:r>
      <w:r>
        <w:rPr>
          <w:color w:val="000000"/>
        </w:rPr>
        <w:t>the</w:t>
      </w:r>
      <w:r>
        <w:rPr>
          <w:color w:val="000000"/>
          <w:spacing w:val="40"/>
        </w:rPr>
        <w:t> </w:t>
      </w:r>
      <w:r>
        <w:rPr>
          <w:color w:val="000000"/>
        </w:rPr>
        <w:t>conceptual</w:t>
      </w:r>
      <w:r>
        <w:rPr>
          <w:color w:val="000000"/>
          <w:spacing w:val="40"/>
        </w:rPr>
        <w:t> </w:t>
      </w:r>
      <w:r>
        <w:rPr>
          <w:color w:val="000000"/>
        </w:rPr>
        <w:t>questions, considering previous answers during the flipped classroom activity.</w:t>
      </w:r>
    </w:p>
    <w:p>
      <w:pPr>
        <w:pStyle w:val="BodyText"/>
        <w:spacing w:before="5"/>
        <w:ind w:left="0"/>
      </w:pPr>
    </w:p>
    <w:p>
      <w:pPr>
        <w:pStyle w:val="BodyText"/>
        <w:jc w:val="both"/>
      </w:pPr>
      <w:r>
        <w:rPr/>
        <w:t>Guiding</w:t>
      </w:r>
      <w:r>
        <w:rPr>
          <w:spacing w:val="-7"/>
        </w:rPr>
        <w:t> </w:t>
      </w:r>
      <w:r>
        <w:rPr>
          <w:spacing w:val="-2"/>
        </w:rPr>
        <w:t>questions:</w:t>
      </w:r>
    </w:p>
    <w:p>
      <w:pPr>
        <w:pStyle w:val="BodyText"/>
        <w:spacing w:before="1"/>
        <w:ind w:left="0"/>
      </w:pPr>
    </w:p>
    <w:p>
      <w:pPr>
        <w:pStyle w:val="ListParagraph"/>
        <w:numPr>
          <w:ilvl w:val="0"/>
          <w:numId w:val="1"/>
        </w:numPr>
        <w:tabs>
          <w:tab w:pos="270" w:val="left" w:leader="none"/>
        </w:tabs>
        <w:spacing w:line="240" w:lineRule="auto" w:before="0" w:after="0"/>
        <w:ind w:left="110" w:right="108" w:firstLine="0"/>
        <w:jc w:val="both"/>
        <w:rPr>
          <w:sz w:val="22"/>
        </w:rPr>
      </w:pPr>
      <w:r>
        <w:rPr>
          <w:color w:val="0070C0"/>
          <w:sz w:val="22"/>
        </w:rPr>
        <w:t>-</w:t>
      </w:r>
      <w:r>
        <w:rPr>
          <w:color w:val="0070C0"/>
          <w:spacing w:val="-3"/>
          <w:sz w:val="22"/>
        </w:rPr>
        <w:t> </w:t>
      </w:r>
      <w:r>
        <w:rPr>
          <w:color w:val="0070C0"/>
          <w:sz w:val="22"/>
        </w:rPr>
        <w:t>What</w:t>
      </w:r>
      <w:r>
        <w:rPr>
          <w:color w:val="0070C0"/>
          <w:spacing w:val="-3"/>
          <w:sz w:val="22"/>
        </w:rPr>
        <w:t> </w:t>
      </w:r>
      <w:r>
        <w:rPr>
          <w:color w:val="0070C0"/>
          <w:sz w:val="22"/>
        </w:rPr>
        <w:t>are</w:t>
      </w:r>
      <w:r>
        <w:rPr>
          <w:color w:val="0070C0"/>
          <w:spacing w:val="-3"/>
          <w:sz w:val="22"/>
        </w:rPr>
        <w:t> </w:t>
      </w:r>
      <w:r>
        <w:rPr>
          <w:color w:val="0070C0"/>
          <w:sz w:val="22"/>
        </w:rPr>
        <w:t>the</w:t>
      </w:r>
      <w:r>
        <w:rPr>
          <w:color w:val="0070C0"/>
          <w:spacing w:val="-3"/>
          <w:sz w:val="22"/>
        </w:rPr>
        <w:t> </w:t>
      </w:r>
      <w:r>
        <w:rPr>
          <w:color w:val="0070C0"/>
          <w:sz w:val="22"/>
        </w:rPr>
        <w:t>roles</w:t>
      </w:r>
      <w:r>
        <w:rPr>
          <w:color w:val="0070C0"/>
          <w:spacing w:val="-3"/>
          <w:sz w:val="22"/>
        </w:rPr>
        <w:t> </w:t>
      </w:r>
      <w:r>
        <w:rPr>
          <w:color w:val="0070C0"/>
          <w:sz w:val="22"/>
        </w:rPr>
        <w:t>of</w:t>
      </w:r>
      <w:r>
        <w:rPr>
          <w:color w:val="0070C0"/>
          <w:spacing w:val="-3"/>
          <w:sz w:val="22"/>
        </w:rPr>
        <w:t> </w:t>
      </w:r>
      <w:r>
        <w:rPr>
          <w:color w:val="0070C0"/>
          <w:sz w:val="22"/>
        </w:rPr>
        <w:t>stakeholders</w:t>
      </w:r>
      <w:r>
        <w:rPr>
          <w:color w:val="0070C0"/>
          <w:spacing w:val="-3"/>
          <w:sz w:val="22"/>
        </w:rPr>
        <w:t> </w:t>
      </w:r>
      <w:r>
        <w:rPr>
          <w:color w:val="0070C0"/>
          <w:sz w:val="22"/>
        </w:rPr>
        <w:t>in</w:t>
      </w:r>
      <w:r>
        <w:rPr>
          <w:color w:val="0070C0"/>
          <w:spacing w:val="-3"/>
          <w:sz w:val="22"/>
        </w:rPr>
        <w:t> </w:t>
      </w:r>
      <w:r>
        <w:rPr>
          <w:color w:val="0070C0"/>
          <w:sz w:val="22"/>
        </w:rPr>
        <w:t>the</w:t>
      </w:r>
      <w:r>
        <w:rPr>
          <w:color w:val="0070C0"/>
          <w:spacing w:val="-3"/>
          <w:sz w:val="22"/>
        </w:rPr>
        <w:t> </w:t>
      </w:r>
      <w:r>
        <w:rPr>
          <w:color w:val="0070C0"/>
          <w:sz w:val="22"/>
        </w:rPr>
        <w:t>Goals</w:t>
      </w:r>
      <w:r>
        <w:rPr>
          <w:color w:val="0070C0"/>
          <w:spacing w:val="-3"/>
          <w:sz w:val="22"/>
        </w:rPr>
        <w:t> </w:t>
      </w:r>
      <w:r>
        <w:rPr>
          <w:color w:val="0070C0"/>
          <w:sz w:val="22"/>
        </w:rPr>
        <w:t>Cascade,</w:t>
      </w:r>
      <w:r>
        <w:rPr>
          <w:color w:val="0070C0"/>
          <w:spacing w:val="-3"/>
          <w:sz w:val="22"/>
        </w:rPr>
        <w:t> </w:t>
      </w:r>
      <w:r>
        <w:rPr>
          <w:color w:val="0070C0"/>
          <w:sz w:val="22"/>
        </w:rPr>
        <w:t>according</w:t>
      </w:r>
      <w:r>
        <w:rPr>
          <w:color w:val="0070C0"/>
          <w:spacing w:val="-3"/>
          <w:sz w:val="22"/>
        </w:rPr>
        <w:t> </w:t>
      </w:r>
      <w:r>
        <w:rPr>
          <w:color w:val="0070C0"/>
          <w:sz w:val="22"/>
        </w:rPr>
        <w:t>to</w:t>
      </w:r>
      <w:r>
        <w:rPr>
          <w:color w:val="0070C0"/>
          <w:spacing w:val="-3"/>
          <w:sz w:val="22"/>
        </w:rPr>
        <w:t> </w:t>
      </w:r>
      <w:r>
        <w:rPr>
          <w:color w:val="0070C0"/>
          <w:sz w:val="22"/>
        </w:rPr>
        <w:t>the</w:t>
      </w:r>
      <w:r>
        <w:rPr>
          <w:color w:val="0070C0"/>
          <w:spacing w:val="-3"/>
          <w:sz w:val="22"/>
        </w:rPr>
        <w:t> </w:t>
      </w:r>
      <w:r>
        <w:rPr>
          <w:color w:val="0070C0"/>
          <w:sz w:val="22"/>
        </w:rPr>
        <w:t>approach</w:t>
      </w:r>
      <w:r>
        <w:rPr>
          <w:color w:val="0070C0"/>
          <w:spacing w:val="-3"/>
          <w:sz w:val="22"/>
        </w:rPr>
        <w:t> </w:t>
      </w:r>
      <w:r>
        <w:rPr>
          <w:color w:val="0070C0"/>
          <w:sz w:val="22"/>
        </w:rPr>
        <w:t>proposed</w:t>
      </w:r>
      <w:r>
        <w:rPr>
          <w:color w:val="0070C0"/>
          <w:spacing w:val="-3"/>
          <w:sz w:val="22"/>
        </w:rPr>
        <w:t> </w:t>
      </w:r>
      <w:r>
        <w:rPr>
          <w:color w:val="0070C0"/>
          <w:sz w:val="22"/>
        </w:rPr>
        <w:t>in Figure 4 and described in the Chapter 2 of the document.</w:t>
      </w:r>
    </w:p>
    <w:p>
      <w:pPr>
        <w:pStyle w:val="BodyText"/>
        <w:jc w:val="both"/>
      </w:pPr>
      <w:r>
        <w:rPr/>
        <w:t>Individual</w:t>
      </w:r>
      <w:r>
        <w:rPr>
          <w:spacing w:val="-10"/>
        </w:rPr>
        <w:t> </w:t>
      </w:r>
      <w:r>
        <w:rPr>
          <w:spacing w:val="-2"/>
        </w:rPr>
        <w:t>Answer:</w:t>
      </w:r>
    </w:p>
    <w:p>
      <w:pPr>
        <w:pStyle w:val="BodyText"/>
        <w:ind w:left="0"/>
      </w:pPr>
    </w:p>
    <w:p>
      <w:pPr>
        <w:pStyle w:val="BodyText"/>
        <w:spacing w:before="1"/>
        <w:ind w:left="0"/>
      </w:pPr>
    </w:p>
    <w:p>
      <w:pPr>
        <w:pStyle w:val="ListParagraph"/>
        <w:numPr>
          <w:ilvl w:val="0"/>
          <w:numId w:val="1"/>
        </w:numPr>
        <w:tabs>
          <w:tab w:pos="270" w:val="left" w:leader="none"/>
        </w:tabs>
        <w:spacing w:line="240" w:lineRule="auto" w:before="0" w:after="0"/>
        <w:ind w:left="110" w:right="870" w:firstLine="0"/>
        <w:jc w:val="left"/>
        <w:rPr>
          <w:sz w:val="22"/>
        </w:rPr>
      </w:pPr>
      <w:r>
        <w:rPr>
          <w:color w:val="0070C0"/>
          <w:sz w:val="22"/>
        </w:rPr>
        <w:t>-</w:t>
      </w:r>
      <w:r>
        <w:rPr>
          <w:color w:val="0070C0"/>
          <w:spacing w:val="-3"/>
          <w:sz w:val="22"/>
        </w:rPr>
        <w:t> </w:t>
      </w:r>
      <w:r>
        <w:rPr>
          <w:color w:val="0070C0"/>
          <w:sz w:val="22"/>
        </w:rPr>
        <w:t>Is</w:t>
      </w:r>
      <w:r>
        <w:rPr>
          <w:color w:val="0070C0"/>
          <w:spacing w:val="-3"/>
          <w:sz w:val="22"/>
        </w:rPr>
        <w:t> </w:t>
      </w:r>
      <w:r>
        <w:rPr>
          <w:color w:val="0070C0"/>
          <w:sz w:val="22"/>
        </w:rPr>
        <w:t>it</w:t>
      </w:r>
      <w:r>
        <w:rPr>
          <w:color w:val="0070C0"/>
          <w:spacing w:val="-3"/>
          <w:sz w:val="22"/>
        </w:rPr>
        <w:t> </w:t>
      </w:r>
      <w:r>
        <w:rPr>
          <w:color w:val="0070C0"/>
          <w:sz w:val="22"/>
        </w:rPr>
        <w:t>possible</w:t>
      </w:r>
      <w:r>
        <w:rPr>
          <w:color w:val="0070C0"/>
          <w:spacing w:val="-3"/>
          <w:sz w:val="22"/>
        </w:rPr>
        <w:t> </w:t>
      </w:r>
      <w:r>
        <w:rPr>
          <w:color w:val="0070C0"/>
          <w:sz w:val="22"/>
        </w:rPr>
        <w:t>to</w:t>
      </w:r>
      <w:r>
        <w:rPr>
          <w:color w:val="0070C0"/>
          <w:spacing w:val="-3"/>
          <w:sz w:val="22"/>
        </w:rPr>
        <w:t> </w:t>
      </w:r>
      <w:r>
        <w:rPr>
          <w:color w:val="0070C0"/>
          <w:sz w:val="22"/>
        </w:rPr>
        <w:t>skip</w:t>
      </w:r>
      <w:r>
        <w:rPr>
          <w:color w:val="0070C0"/>
          <w:spacing w:val="-3"/>
          <w:sz w:val="22"/>
        </w:rPr>
        <w:t> </w:t>
      </w:r>
      <w:r>
        <w:rPr>
          <w:color w:val="0070C0"/>
          <w:sz w:val="22"/>
        </w:rPr>
        <w:t>or</w:t>
      </w:r>
      <w:r>
        <w:rPr>
          <w:color w:val="0070C0"/>
          <w:spacing w:val="-3"/>
          <w:sz w:val="22"/>
        </w:rPr>
        <w:t> </w:t>
      </w:r>
      <w:r>
        <w:rPr>
          <w:color w:val="0070C0"/>
          <w:sz w:val="22"/>
        </w:rPr>
        <w:t>incorporate</w:t>
      </w:r>
      <w:r>
        <w:rPr>
          <w:color w:val="0070C0"/>
          <w:spacing w:val="-3"/>
          <w:sz w:val="22"/>
        </w:rPr>
        <w:t> </w:t>
      </w:r>
      <w:r>
        <w:rPr>
          <w:color w:val="0070C0"/>
          <w:sz w:val="22"/>
        </w:rPr>
        <w:t>steps</w:t>
      </w:r>
      <w:r>
        <w:rPr>
          <w:color w:val="0070C0"/>
          <w:spacing w:val="-3"/>
          <w:sz w:val="22"/>
        </w:rPr>
        <w:t> </w:t>
      </w:r>
      <w:r>
        <w:rPr>
          <w:color w:val="0070C0"/>
          <w:sz w:val="22"/>
        </w:rPr>
        <w:t>and</w:t>
      </w:r>
      <w:r>
        <w:rPr>
          <w:color w:val="0070C0"/>
          <w:spacing w:val="-3"/>
          <w:sz w:val="22"/>
        </w:rPr>
        <w:t> </w:t>
      </w:r>
      <w:r>
        <w:rPr>
          <w:color w:val="0070C0"/>
          <w:sz w:val="22"/>
        </w:rPr>
        <w:t>still</w:t>
      </w:r>
      <w:r>
        <w:rPr>
          <w:color w:val="0070C0"/>
          <w:spacing w:val="-3"/>
          <w:sz w:val="22"/>
        </w:rPr>
        <w:t> </w:t>
      </w:r>
      <w:r>
        <w:rPr>
          <w:color w:val="0070C0"/>
          <w:sz w:val="22"/>
        </w:rPr>
        <w:t>be</w:t>
      </w:r>
      <w:r>
        <w:rPr>
          <w:color w:val="0070C0"/>
          <w:spacing w:val="-3"/>
          <w:sz w:val="22"/>
        </w:rPr>
        <w:t> </w:t>
      </w:r>
      <w:r>
        <w:rPr>
          <w:color w:val="0070C0"/>
          <w:sz w:val="22"/>
        </w:rPr>
        <w:t>successful</w:t>
      </w:r>
      <w:r>
        <w:rPr>
          <w:color w:val="0070C0"/>
          <w:spacing w:val="-3"/>
          <w:sz w:val="22"/>
        </w:rPr>
        <w:t> </w:t>
      </w:r>
      <w:r>
        <w:rPr>
          <w:color w:val="0070C0"/>
          <w:sz w:val="22"/>
        </w:rPr>
        <w:t>with</w:t>
      </w:r>
      <w:r>
        <w:rPr>
          <w:color w:val="0070C0"/>
          <w:spacing w:val="-3"/>
          <w:sz w:val="22"/>
        </w:rPr>
        <w:t> </w:t>
      </w:r>
      <w:r>
        <w:rPr>
          <w:color w:val="0070C0"/>
          <w:sz w:val="22"/>
        </w:rPr>
        <w:t>the</w:t>
      </w:r>
      <w:r>
        <w:rPr>
          <w:color w:val="0070C0"/>
          <w:spacing w:val="-3"/>
          <w:sz w:val="22"/>
        </w:rPr>
        <w:t> </w:t>
      </w:r>
      <w:r>
        <w:rPr>
          <w:color w:val="0070C0"/>
          <w:sz w:val="22"/>
        </w:rPr>
        <w:t>Goals</w:t>
      </w:r>
      <w:r>
        <w:rPr>
          <w:color w:val="0070C0"/>
          <w:spacing w:val="-1"/>
          <w:sz w:val="22"/>
        </w:rPr>
        <w:t> </w:t>
      </w:r>
      <w:r>
        <w:rPr>
          <w:color w:val="0070C0"/>
          <w:sz w:val="22"/>
        </w:rPr>
        <w:t>Cascade? </w:t>
      </w:r>
      <w:r>
        <w:rPr>
          <w:sz w:val="22"/>
        </w:rPr>
        <w:t>Individual Answer:</w:t>
      </w:r>
    </w:p>
    <w:p>
      <w:pPr>
        <w:spacing w:after="0" w:line="240" w:lineRule="auto"/>
        <w:jc w:val="left"/>
        <w:rPr>
          <w:sz w:val="22"/>
        </w:rPr>
        <w:sectPr>
          <w:headerReference w:type="default" r:id="rId5"/>
          <w:footerReference w:type="default" r:id="rId6"/>
          <w:type w:val="continuous"/>
          <w:pgSz w:w="12240" w:h="15840"/>
          <w:pgMar w:header="734" w:footer="685" w:top="1780" w:bottom="880" w:left="1600" w:right="1580"/>
          <w:pgNumType w:start="1"/>
        </w:sectPr>
      </w:pPr>
    </w:p>
    <w:p>
      <w:pPr>
        <w:pStyle w:val="ListParagraph"/>
        <w:numPr>
          <w:ilvl w:val="0"/>
          <w:numId w:val="1"/>
        </w:numPr>
        <w:tabs>
          <w:tab w:pos="273" w:val="left" w:leader="none"/>
        </w:tabs>
        <w:spacing w:line="240" w:lineRule="auto" w:before="90" w:after="0"/>
        <w:ind w:left="110" w:right="104" w:firstLine="0"/>
        <w:jc w:val="both"/>
        <w:rPr>
          <w:sz w:val="22"/>
        </w:rPr>
      </w:pPr>
      <w:r>
        <w:rPr>
          <w:color w:val="0070C0"/>
          <w:sz w:val="22"/>
        </w:rPr>
        <w:t>- Make an assessment in your work environment (or possible professional environments) related to</w:t>
      </w:r>
      <w:r>
        <w:rPr>
          <w:color w:val="0070C0"/>
          <w:spacing w:val="-2"/>
          <w:sz w:val="22"/>
        </w:rPr>
        <w:t> </w:t>
      </w:r>
      <w:r>
        <w:rPr>
          <w:color w:val="0070C0"/>
          <w:sz w:val="22"/>
        </w:rPr>
        <w:t>the</w:t>
      </w:r>
      <w:r>
        <w:rPr>
          <w:color w:val="0070C0"/>
          <w:spacing w:val="-2"/>
          <w:sz w:val="22"/>
        </w:rPr>
        <w:t> </w:t>
      </w:r>
      <w:r>
        <w:rPr>
          <w:color w:val="0070C0"/>
          <w:sz w:val="22"/>
        </w:rPr>
        <w:t>IT</w:t>
      </w:r>
      <w:r>
        <w:rPr>
          <w:color w:val="0070C0"/>
          <w:spacing w:val="-2"/>
          <w:sz w:val="22"/>
        </w:rPr>
        <w:t> </w:t>
      </w:r>
      <w:r>
        <w:rPr>
          <w:color w:val="0070C0"/>
          <w:sz w:val="22"/>
        </w:rPr>
        <w:t>area</w:t>
      </w:r>
      <w:r>
        <w:rPr>
          <w:color w:val="0070C0"/>
          <w:spacing w:val="-2"/>
          <w:sz w:val="22"/>
        </w:rPr>
        <w:t> </w:t>
      </w:r>
      <w:r>
        <w:rPr>
          <w:color w:val="0070C0"/>
          <w:sz w:val="22"/>
        </w:rPr>
        <w:t>and</w:t>
      </w:r>
      <w:r>
        <w:rPr>
          <w:color w:val="0070C0"/>
          <w:spacing w:val="-2"/>
          <w:sz w:val="22"/>
        </w:rPr>
        <w:t> </w:t>
      </w:r>
      <w:r>
        <w:rPr>
          <w:color w:val="0070C0"/>
          <w:sz w:val="22"/>
        </w:rPr>
        <w:t>analyze</w:t>
      </w:r>
      <w:r>
        <w:rPr>
          <w:color w:val="0070C0"/>
          <w:spacing w:val="-2"/>
          <w:sz w:val="22"/>
        </w:rPr>
        <w:t> </w:t>
      </w:r>
      <w:r>
        <w:rPr>
          <w:color w:val="0070C0"/>
          <w:sz w:val="22"/>
        </w:rPr>
        <w:t>the</w:t>
      </w:r>
      <w:r>
        <w:rPr>
          <w:color w:val="0070C0"/>
          <w:spacing w:val="-2"/>
          <w:sz w:val="22"/>
        </w:rPr>
        <w:t> </w:t>
      </w:r>
      <w:r>
        <w:rPr>
          <w:color w:val="0070C0"/>
          <w:sz w:val="22"/>
        </w:rPr>
        <w:t>applicability</w:t>
      </w:r>
      <w:r>
        <w:rPr>
          <w:color w:val="0070C0"/>
          <w:spacing w:val="-2"/>
          <w:sz w:val="22"/>
        </w:rPr>
        <w:t> </w:t>
      </w:r>
      <w:r>
        <w:rPr>
          <w:color w:val="0070C0"/>
          <w:sz w:val="22"/>
        </w:rPr>
        <w:t>of</w:t>
      </w:r>
      <w:r>
        <w:rPr>
          <w:color w:val="0070C0"/>
          <w:spacing w:val="-2"/>
          <w:sz w:val="22"/>
        </w:rPr>
        <w:t> </w:t>
      </w:r>
      <w:r>
        <w:rPr>
          <w:color w:val="0070C0"/>
          <w:sz w:val="22"/>
        </w:rPr>
        <w:t>the</w:t>
      </w:r>
      <w:r>
        <w:rPr>
          <w:color w:val="0070C0"/>
          <w:spacing w:val="-2"/>
          <w:sz w:val="22"/>
        </w:rPr>
        <w:t> </w:t>
      </w:r>
      <w:r>
        <w:rPr>
          <w:color w:val="0070C0"/>
          <w:sz w:val="22"/>
        </w:rPr>
        <w:t>concepts</w:t>
      </w:r>
      <w:r>
        <w:rPr>
          <w:color w:val="0070C0"/>
          <w:spacing w:val="-2"/>
          <w:sz w:val="22"/>
        </w:rPr>
        <w:t> </w:t>
      </w:r>
      <w:r>
        <w:rPr>
          <w:color w:val="0070C0"/>
          <w:sz w:val="22"/>
        </w:rPr>
        <w:t>involved</w:t>
      </w:r>
      <w:r>
        <w:rPr>
          <w:color w:val="0070C0"/>
          <w:spacing w:val="-2"/>
          <w:sz w:val="22"/>
        </w:rPr>
        <w:t> </w:t>
      </w:r>
      <w:r>
        <w:rPr>
          <w:color w:val="0070C0"/>
          <w:sz w:val="22"/>
        </w:rPr>
        <w:t>in</w:t>
      </w:r>
      <w:r>
        <w:rPr>
          <w:color w:val="0070C0"/>
          <w:spacing w:val="-2"/>
          <w:sz w:val="22"/>
        </w:rPr>
        <w:t> </w:t>
      </w:r>
      <w:r>
        <w:rPr>
          <w:color w:val="0070C0"/>
          <w:sz w:val="22"/>
        </w:rPr>
        <w:t>the</w:t>
      </w:r>
      <w:r>
        <w:rPr>
          <w:color w:val="0070C0"/>
          <w:spacing w:val="-2"/>
          <w:sz w:val="22"/>
        </w:rPr>
        <w:t> </w:t>
      </w:r>
      <w:r>
        <w:rPr>
          <w:color w:val="0070C0"/>
          <w:sz w:val="22"/>
        </w:rPr>
        <w:t>Goals</w:t>
      </w:r>
      <w:r>
        <w:rPr>
          <w:color w:val="0070C0"/>
          <w:spacing w:val="-2"/>
          <w:sz w:val="22"/>
        </w:rPr>
        <w:t> </w:t>
      </w:r>
      <w:r>
        <w:rPr>
          <w:color w:val="0070C0"/>
          <w:sz w:val="22"/>
        </w:rPr>
        <w:t>Cascade</w:t>
      </w:r>
      <w:r>
        <w:rPr>
          <w:color w:val="0070C0"/>
          <w:spacing w:val="-2"/>
          <w:sz w:val="22"/>
        </w:rPr>
        <w:t> </w:t>
      </w:r>
      <w:r>
        <w:rPr>
          <w:color w:val="0070C0"/>
          <w:sz w:val="22"/>
        </w:rPr>
        <w:t>and</w:t>
      </w:r>
      <w:r>
        <w:rPr>
          <w:color w:val="0070C0"/>
          <w:spacing w:val="-2"/>
          <w:sz w:val="22"/>
        </w:rPr>
        <w:t> </w:t>
      </w:r>
      <w:r>
        <w:rPr>
          <w:color w:val="0070C0"/>
          <w:sz w:val="22"/>
        </w:rPr>
        <w:t>make considerations on the feasibility of implementing it in your organization (or in an organization of medium-sized IT area).</w:t>
      </w:r>
    </w:p>
    <w:p>
      <w:pPr>
        <w:pStyle w:val="BodyText"/>
        <w:spacing w:before="1"/>
        <w:jc w:val="both"/>
      </w:pPr>
      <w:r>
        <w:rPr/>
        <w:t>Individual</w:t>
      </w:r>
      <w:r>
        <w:rPr>
          <w:spacing w:val="-10"/>
        </w:rPr>
        <w:t> </w:t>
      </w:r>
      <w:r>
        <w:rPr>
          <w:spacing w:val="-2"/>
        </w:rPr>
        <w:t>Answer:</w:t>
      </w:r>
    </w:p>
    <w:p>
      <w:pPr>
        <w:pStyle w:val="BodyText"/>
        <w:ind w:left="0"/>
      </w:pPr>
    </w:p>
    <w:p>
      <w:pPr>
        <w:pStyle w:val="BodyText"/>
        <w:spacing w:before="1"/>
        <w:ind w:left="0"/>
      </w:pPr>
    </w:p>
    <w:p>
      <w:pPr>
        <w:pStyle w:val="BodyText"/>
        <w:ind w:right="107"/>
        <w:jc w:val="both"/>
      </w:pPr>
      <w:r>
        <w:rPr>
          <w:color w:val="0070C0"/>
        </w:rPr>
        <w:t>4) Did you have doubts about the concepts presented in this chapter of the COBIT 5 model? What were your biggest difficulties in understanding the text? Did you find many unfamiliar English </w:t>
      </w:r>
      <w:r>
        <w:rPr>
          <w:color w:val="0070C0"/>
          <w:spacing w:val="-2"/>
        </w:rPr>
        <w:t>words?</w:t>
      </w:r>
    </w:p>
    <w:p>
      <w:pPr>
        <w:pStyle w:val="BodyText"/>
        <w:spacing w:line="264" w:lineRule="exact"/>
        <w:jc w:val="both"/>
      </w:pPr>
      <w:r>
        <w:rPr/>
        <w:t>Individual</w:t>
      </w:r>
      <w:r>
        <w:rPr>
          <w:spacing w:val="-10"/>
        </w:rPr>
        <w:t> </w:t>
      </w:r>
      <w:r>
        <w:rPr>
          <w:spacing w:val="-2"/>
        </w:rPr>
        <w:t>Answer:</w:t>
      </w:r>
    </w:p>
    <w:p>
      <w:pPr>
        <w:pStyle w:val="BodyText"/>
        <w:ind w:left="0"/>
      </w:pPr>
    </w:p>
    <w:p>
      <w:pPr>
        <w:pStyle w:val="BodyText"/>
        <w:spacing w:before="1"/>
        <w:ind w:right="108"/>
        <w:jc w:val="both"/>
      </w:pPr>
      <w:r>
        <w:rPr/>
        <w:t>You can hand out your answers in AVA attaching a MS Word, PDF or TXT document. Don’t worry with the format, just with the content! Don’t forget your name. It is individual.</w:t>
      </w:r>
    </w:p>
    <w:p>
      <w:pPr>
        <w:pStyle w:val="BodyText"/>
        <w:ind w:left="0"/>
      </w:pPr>
    </w:p>
    <w:p>
      <w:pPr>
        <w:pStyle w:val="BodyText"/>
        <w:ind w:right="7791"/>
      </w:pPr>
      <w:r>
        <w:rPr>
          <w:spacing w:val="-2"/>
        </w:rPr>
        <w:t>Regards, </w:t>
      </w:r>
      <w:r>
        <w:rPr/>
        <w:t>Prof.</w:t>
      </w:r>
      <w:r>
        <w:rPr>
          <w:spacing w:val="-13"/>
        </w:rPr>
        <w:t> </w:t>
      </w:r>
      <w:r>
        <w:rPr/>
        <w:t>Paludo.</w:t>
      </w:r>
    </w:p>
    <w:sectPr>
      <w:pgSz w:w="12240" w:h="15840"/>
      <w:pgMar w:header="734" w:footer="685" w:top="1780" w:bottom="8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49440">
              <wp:simplePos x="0" y="0"/>
              <wp:positionH relativeFrom="page">
                <wp:posOffset>5646719</wp:posOffset>
              </wp:positionH>
              <wp:positionV relativeFrom="page">
                <wp:posOffset>9483523</wp:posOffset>
              </wp:positionV>
              <wp:extent cx="1064260" cy="1377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64260" cy="137795"/>
                      </a:xfrm>
                      <a:prstGeom prst="rect">
                        <a:avLst/>
                      </a:prstGeom>
                    </wps:spPr>
                    <wps:txbx>
                      <w:txbxContent>
                        <w:p>
                          <w:pPr>
                            <w:spacing w:before="13"/>
                            <w:ind w:left="20" w:right="0" w:firstLine="0"/>
                            <w:jc w:val="left"/>
                            <w:rPr>
                              <w:rFonts w:ascii="Arial"/>
                              <w:i/>
                              <w:sz w:val="16"/>
                            </w:rPr>
                          </w:pPr>
                          <w:r>
                            <w:rPr>
                              <w:rFonts w:ascii="Arial"/>
                              <w:i/>
                              <w:sz w:val="16"/>
                            </w:rPr>
                            <w:t>Global</w:t>
                          </w:r>
                          <w:r>
                            <w:rPr>
                              <w:rFonts w:ascii="Arial"/>
                              <w:i/>
                              <w:spacing w:val="-5"/>
                              <w:sz w:val="16"/>
                            </w:rPr>
                            <w:t> </w:t>
                          </w:r>
                          <w:r>
                            <w:rPr>
                              <w:rFonts w:ascii="Arial"/>
                              <w:i/>
                              <w:sz w:val="16"/>
                            </w:rPr>
                            <w:t>Classes</w:t>
                          </w:r>
                          <w:r>
                            <w:rPr>
                              <w:rFonts w:ascii="Arial"/>
                              <w:i/>
                              <w:spacing w:val="-4"/>
                              <w:sz w:val="16"/>
                            </w:rPr>
                            <w:t> </w:t>
                          </w:r>
                          <w:r>
                            <w:rPr>
                              <w:rFonts w:ascii="Arial"/>
                              <w:i/>
                              <w:sz w:val="16"/>
                            </w:rPr>
                            <w:t>Level</w:t>
                          </w:r>
                          <w:r>
                            <w:rPr>
                              <w:rFonts w:ascii="Arial"/>
                              <w:i/>
                              <w:spacing w:val="-4"/>
                              <w:sz w:val="16"/>
                            </w:rPr>
                            <w:t>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44.623566pt;margin-top:746.734131pt;width:83.8pt;height:10.85pt;mso-position-horizontal-relative:page;mso-position-vertical-relative:page;z-index:-15767040" type="#_x0000_t202" id="docshape2" filled="false" stroked="false">
              <v:textbox inset="0,0,0,0">
                <w:txbxContent>
                  <w:p>
                    <w:pPr>
                      <w:spacing w:before="13"/>
                      <w:ind w:left="20" w:right="0" w:firstLine="0"/>
                      <w:jc w:val="left"/>
                      <w:rPr>
                        <w:rFonts w:ascii="Arial"/>
                        <w:i/>
                        <w:sz w:val="16"/>
                      </w:rPr>
                    </w:pPr>
                    <w:r>
                      <w:rPr>
                        <w:rFonts w:ascii="Arial"/>
                        <w:i/>
                        <w:sz w:val="16"/>
                      </w:rPr>
                      <w:t>Global</w:t>
                    </w:r>
                    <w:r>
                      <w:rPr>
                        <w:rFonts w:ascii="Arial"/>
                        <w:i/>
                        <w:spacing w:val="-5"/>
                        <w:sz w:val="16"/>
                      </w:rPr>
                      <w:t> </w:t>
                    </w:r>
                    <w:r>
                      <w:rPr>
                        <w:rFonts w:ascii="Arial"/>
                        <w:i/>
                        <w:sz w:val="16"/>
                      </w:rPr>
                      <w:t>Classes</w:t>
                    </w:r>
                    <w:r>
                      <w:rPr>
                        <w:rFonts w:ascii="Arial"/>
                        <w:i/>
                        <w:spacing w:val="-4"/>
                        <w:sz w:val="16"/>
                      </w:rPr>
                      <w:t> </w:t>
                    </w:r>
                    <w:r>
                      <w:rPr>
                        <w:rFonts w:ascii="Arial"/>
                        <w:i/>
                        <w:sz w:val="16"/>
                      </w:rPr>
                      <w:t>Level</w:t>
                    </w:r>
                    <w:r>
                      <w:rPr>
                        <w:rFonts w:ascii="Arial"/>
                        <w:i/>
                        <w:spacing w:val="-4"/>
                        <w:sz w:val="16"/>
                      </w:rPr>
                      <w:t> </w:t>
                    </w:r>
                    <w:r>
                      <w:rPr>
                        <w:rFonts w:ascii="Arial"/>
                        <w:i/>
                        <w:spacing w:val="-10"/>
                        <w:sz w:val="16"/>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48416">
              <wp:simplePos x="0" y="0"/>
              <wp:positionH relativeFrom="page">
                <wp:posOffset>1086408</wp:posOffset>
              </wp:positionH>
              <wp:positionV relativeFrom="page">
                <wp:posOffset>1004949</wp:posOffset>
              </wp:positionV>
              <wp:extent cx="554037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40375" cy="1270"/>
                      </a:xfrm>
                      <a:custGeom>
                        <a:avLst/>
                        <a:gdLst/>
                        <a:ahLst/>
                        <a:cxnLst/>
                        <a:rect l="l" t="t" r="r" b="b"/>
                        <a:pathLst>
                          <a:path w="5540375" h="0">
                            <a:moveTo>
                              <a:pt x="0" y="0"/>
                            </a:moveTo>
                            <a:lnTo>
                              <a:pt x="5540349"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8064" from="85.543945pt,79.129913pt" to="521.791966pt,79.129913pt" stroked="true" strokeweight=".78pt" strokecolor="#000000">
              <v:stroke dashstyle="solid"/>
              <w10:wrap type="none"/>
            </v:line>
          </w:pict>
        </mc:Fallback>
      </mc:AlternateContent>
    </w:r>
    <w:r>
      <w:rPr/>
      <mc:AlternateContent>
        <mc:Choice Requires="wps">
          <w:drawing>
            <wp:anchor distT="0" distB="0" distL="0" distR="0" allowOverlap="1" layoutInCell="1" locked="0" behindDoc="1" simplePos="0" relativeHeight="487548928">
              <wp:simplePos x="0" y="0"/>
              <wp:positionH relativeFrom="page">
                <wp:posOffset>1073708</wp:posOffset>
              </wp:positionH>
              <wp:positionV relativeFrom="page">
                <wp:posOffset>453112</wp:posOffset>
              </wp:positionV>
              <wp:extent cx="3921125" cy="3975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921125" cy="397510"/>
                      </a:xfrm>
                      <a:prstGeom prst="rect">
                        <a:avLst/>
                      </a:prstGeom>
                    </wps:spPr>
                    <wps:txbx>
                      <w:txbxContent>
                        <w:p>
                          <w:pPr>
                            <w:spacing w:before="20"/>
                            <w:ind w:left="20" w:right="0" w:firstLine="0"/>
                            <w:jc w:val="left"/>
                            <w:rPr>
                              <w:sz w:val="24"/>
                            </w:rPr>
                          </w:pPr>
                          <w:r>
                            <w:rPr>
                              <w:sz w:val="24"/>
                            </w:rPr>
                            <w:t>2024-03-12-ITM-TDE-01-Goals</w:t>
                          </w:r>
                          <w:r>
                            <w:rPr>
                              <w:spacing w:val="-2"/>
                              <w:sz w:val="24"/>
                            </w:rPr>
                            <w:t> </w:t>
                          </w:r>
                          <w:r>
                            <w:rPr>
                              <w:sz w:val="24"/>
                            </w:rPr>
                            <w:t>Cascade</w:t>
                          </w:r>
                          <w:r>
                            <w:rPr>
                              <w:spacing w:val="-1"/>
                              <w:sz w:val="24"/>
                            </w:rPr>
                            <w:t> </w:t>
                          </w:r>
                          <w:r>
                            <w:rPr>
                              <w:sz w:val="24"/>
                            </w:rPr>
                            <w:t>-</w:t>
                          </w:r>
                          <w:r>
                            <w:rPr>
                              <w:spacing w:val="-1"/>
                              <w:sz w:val="24"/>
                            </w:rPr>
                            <w:t> </w:t>
                          </w:r>
                          <w:r>
                            <w:rPr>
                              <w:sz w:val="24"/>
                            </w:rPr>
                            <w:t>2</w:t>
                          </w:r>
                          <w:r>
                            <w:rPr>
                              <w:spacing w:val="-1"/>
                              <w:sz w:val="24"/>
                            </w:rPr>
                            <w:t> </w:t>
                          </w:r>
                          <w:r>
                            <w:rPr>
                              <w:spacing w:val="-2"/>
                              <w:sz w:val="24"/>
                            </w:rPr>
                            <w:t>hours</w:t>
                          </w:r>
                        </w:p>
                        <w:p>
                          <w:pPr>
                            <w:spacing w:before="0"/>
                            <w:ind w:left="20" w:right="0" w:firstLine="0"/>
                            <w:jc w:val="left"/>
                            <w:rPr>
                              <w:sz w:val="24"/>
                            </w:rPr>
                          </w:pPr>
                          <w:r>
                            <w:rPr>
                              <w:sz w:val="24"/>
                            </w:rPr>
                            <w:t>Information</w:t>
                          </w:r>
                          <w:r>
                            <w:rPr>
                              <w:spacing w:val="-2"/>
                              <w:sz w:val="24"/>
                            </w:rPr>
                            <w:t> </w:t>
                          </w:r>
                          <w:r>
                            <w:rPr>
                              <w:sz w:val="24"/>
                            </w:rPr>
                            <w:t>Technology</w:t>
                          </w:r>
                          <w:r>
                            <w:rPr>
                              <w:spacing w:val="-2"/>
                              <w:sz w:val="24"/>
                            </w:rPr>
                            <w:t> </w:t>
                          </w:r>
                          <w:r>
                            <w:rPr>
                              <w:sz w:val="24"/>
                            </w:rPr>
                            <w:t>Management</w:t>
                          </w:r>
                          <w:r>
                            <w:rPr>
                              <w:spacing w:val="-2"/>
                              <w:sz w:val="24"/>
                            </w:rPr>
                            <w:t> </w:t>
                          </w:r>
                          <w:r>
                            <w:rPr>
                              <w:sz w:val="24"/>
                            </w:rPr>
                            <w:t>-</w:t>
                          </w:r>
                          <w:r>
                            <w:rPr>
                              <w:spacing w:val="-1"/>
                              <w:sz w:val="24"/>
                            </w:rPr>
                            <w:t> </w:t>
                          </w:r>
                          <w:r>
                            <w:rPr>
                              <w:sz w:val="24"/>
                            </w:rPr>
                            <w:t>TDE01</w:t>
                          </w:r>
                          <w:r>
                            <w:rPr>
                              <w:spacing w:val="-3"/>
                              <w:sz w:val="24"/>
                            </w:rPr>
                            <w:t> </w:t>
                          </w:r>
                          <w:r>
                            <w:rPr>
                              <w:sz w:val="24"/>
                            </w:rPr>
                            <w:t>–</w:t>
                          </w:r>
                          <w:r>
                            <w:rPr>
                              <w:spacing w:val="-2"/>
                              <w:sz w:val="24"/>
                            </w:rPr>
                            <w:t> </w:t>
                          </w:r>
                          <w:r>
                            <w:rPr>
                              <w:sz w:val="24"/>
                            </w:rPr>
                            <w:t>Goals</w:t>
                          </w:r>
                          <w:r>
                            <w:rPr>
                              <w:spacing w:val="-1"/>
                              <w:sz w:val="24"/>
                            </w:rPr>
                            <w:t> </w:t>
                          </w:r>
                          <w:r>
                            <w:rPr>
                              <w:spacing w:val="-2"/>
                              <w:sz w:val="24"/>
                            </w:rPr>
                            <w:t>Cascade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543945pt;margin-top:35.67812pt;width:308.75pt;height:31.3pt;mso-position-horizontal-relative:page;mso-position-vertical-relative:page;z-index:-15767552" type="#_x0000_t202" id="docshape1" filled="false" stroked="false">
              <v:textbox inset="0,0,0,0">
                <w:txbxContent>
                  <w:p>
                    <w:pPr>
                      <w:spacing w:before="20"/>
                      <w:ind w:left="20" w:right="0" w:firstLine="0"/>
                      <w:jc w:val="left"/>
                      <w:rPr>
                        <w:sz w:val="24"/>
                      </w:rPr>
                    </w:pPr>
                    <w:r>
                      <w:rPr>
                        <w:sz w:val="24"/>
                      </w:rPr>
                      <w:t>2024-03-12-ITM-TDE-01-Goals</w:t>
                    </w:r>
                    <w:r>
                      <w:rPr>
                        <w:spacing w:val="-2"/>
                        <w:sz w:val="24"/>
                      </w:rPr>
                      <w:t> </w:t>
                    </w:r>
                    <w:r>
                      <w:rPr>
                        <w:sz w:val="24"/>
                      </w:rPr>
                      <w:t>Cascade</w:t>
                    </w:r>
                    <w:r>
                      <w:rPr>
                        <w:spacing w:val="-1"/>
                        <w:sz w:val="24"/>
                      </w:rPr>
                      <w:t> </w:t>
                    </w:r>
                    <w:r>
                      <w:rPr>
                        <w:sz w:val="24"/>
                      </w:rPr>
                      <w:t>-</w:t>
                    </w:r>
                    <w:r>
                      <w:rPr>
                        <w:spacing w:val="-1"/>
                        <w:sz w:val="24"/>
                      </w:rPr>
                      <w:t> </w:t>
                    </w:r>
                    <w:r>
                      <w:rPr>
                        <w:sz w:val="24"/>
                      </w:rPr>
                      <w:t>2</w:t>
                    </w:r>
                    <w:r>
                      <w:rPr>
                        <w:spacing w:val="-1"/>
                        <w:sz w:val="24"/>
                      </w:rPr>
                      <w:t> </w:t>
                    </w:r>
                    <w:r>
                      <w:rPr>
                        <w:spacing w:val="-2"/>
                        <w:sz w:val="24"/>
                      </w:rPr>
                      <w:t>hours</w:t>
                    </w:r>
                  </w:p>
                  <w:p>
                    <w:pPr>
                      <w:spacing w:before="0"/>
                      <w:ind w:left="20" w:right="0" w:firstLine="0"/>
                      <w:jc w:val="left"/>
                      <w:rPr>
                        <w:sz w:val="24"/>
                      </w:rPr>
                    </w:pPr>
                    <w:r>
                      <w:rPr>
                        <w:sz w:val="24"/>
                      </w:rPr>
                      <w:t>Information</w:t>
                    </w:r>
                    <w:r>
                      <w:rPr>
                        <w:spacing w:val="-2"/>
                        <w:sz w:val="24"/>
                      </w:rPr>
                      <w:t> </w:t>
                    </w:r>
                    <w:r>
                      <w:rPr>
                        <w:sz w:val="24"/>
                      </w:rPr>
                      <w:t>Technology</w:t>
                    </w:r>
                    <w:r>
                      <w:rPr>
                        <w:spacing w:val="-2"/>
                        <w:sz w:val="24"/>
                      </w:rPr>
                      <w:t> </w:t>
                    </w:r>
                    <w:r>
                      <w:rPr>
                        <w:sz w:val="24"/>
                      </w:rPr>
                      <w:t>Management</w:t>
                    </w:r>
                    <w:r>
                      <w:rPr>
                        <w:spacing w:val="-2"/>
                        <w:sz w:val="24"/>
                      </w:rPr>
                      <w:t> </w:t>
                    </w:r>
                    <w:r>
                      <w:rPr>
                        <w:sz w:val="24"/>
                      </w:rPr>
                      <w:t>-</w:t>
                    </w:r>
                    <w:r>
                      <w:rPr>
                        <w:spacing w:val="-1"/>
                        <w:sz w:val="24"/>
                      </w:rPr>
                      <w:t> </w:t>
                    </w:r>
                    <w:r>
                      <w:rPr>
                        <w:sz w:val="24"/>
                      </w:rPr>
                      <w:t>TDE01</w:t>
                    </w:r>
                    <w:r>
                      <w:rPr>
                        <w:spacing w:val="-3"/>
                        <w:sz w:val="24"/>
                      </w:rPr>
                      <w:t> </w:t>
                    </w:r>
                    <w:r>
                      <w:rPr>
                        <w:sz w:val="24"/>
                      </w:rPr>
                      <w:t>–</w:t>
                    </w:r>
                    <w:r>
                      <w:rPr>
                        <w:spacing w:val="-2"/>
                        <w:sz w:val="24"/>
                      </w:rPr>
                      <w:t> </w:t>
                    </w:r>
                    <w:r>
                      <w:rPr>
                        <w:sz w:val="24"/>
                      </w:rPr>
                      <w:t>Goals</w:t>
                    </w:r>
                    <w:r>
                      <w:rPr>
                        <w:spacing w:val="-1"/>
                        <w:sz w:val="24"/>
                      </w:rPr>
                      <w:t> </w:t>
                    </w:r>
                    <w:r>
                      <w:rPr>
                        <w:spacing w:val="-2"/>
                        <w:sz w:val="24"/>
                      </w:rPr>
                      <w:t>Cascade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 w:hanging="162"/>
        <w:jc w:val="left"/>
      </w:pPr>
      <w:rPr>
        <w:rFonts w:hint="default" w:ascii="Calibri" w:hAnsi="Calibri" w:eastAsia="Calibri" w:cs="Calibri"/>
        <w:b w:val="0"/>
        <w:bCs w:val="0"/>
        <w:i w:val="0"/>
        <w:iCs w:val="0"/>
        <w:color w:val="0070C0"/>
        <w:spacing w:val="0"/>
        <w:w w:val="100"/>
        <w:sz w:val="22"/>
        <w:szCs w:val="22"/>
        <w:lang w:val="en-US" w:eastAsia="en-US" w:bidi="ar-SA"/>
      </w:rPr>
    </w:lvl>
    <w:lvl w:ilvl="1">
      <w:start w:val="0"/>
      <w:numFmt w:val="bullet"/>
      <w:lvlText w:val="•"/>
      <w:lvlJc w:val="left"/>
      <w:pPr>
        <w:ind w:left="1014" w:hanging="162"/>
      </w:pPr>
      <w:rPr>
        <w:rFonts w:hint="default"/>
        <w:lang w:val="en-US" w:eastAsia="en-US" w:bidi="ar-SA"/>
      </w:rPr>
    </w:lvl>
    <w:lvl w:ilvl="2">
      <w:start w:val="0"/>
      <w:numFmt w:val="bullet"/>
      <w:lvlText w:val="•"/>
      <w:lvlJc w:val="left"/>
      <w:pPr>
        <w:ind w:left="1908" w:hanging="162"/>
      </w:pPr>
      <w:rPr>
        <w:rFonts w:hint="default"/>
        <w:lang w:val="en-US" w:eastAsia="en-US" w:bidi="ar-SA"/>
      </w:rPr>
    </w:lvl>
    <w:lvl w:ilvl="3">
      <w:start w:val="0"/>
      <w:numFmt w:val="bullet"/>
      <w:lvlText w:val="•"/>
      <w:lvlJc w:val="left"/>
      <w:pPr>
        <w:ind w:left="2802" w:hanging="162"/>
      </w:pPr>
      <w:rPr>
        <w:rFonts w:hint="default"/>
        <w:lang w:val="en-US" w:eastAsia="en-US" w:bidi="ar-SA"/>
      </w:rPr>
    </w:lvl>
    <w:lvl w:ilvl="4">
      <w:start w:val="0"/>
      <w:numFmt w:val="bullet"/>
      <w:lvlText w:val="•"/>
      <w:lvlJc w:val="left"/>
      <w:pPr>
        <w:ind w:left="3696" w:hanging="162"/>
      </w:pPr>
      <w:rPr>
        <w:rFonts w:hint="default"/>
        <w:lang w:val="en-US" w:eastAsia="en-US" w:bidi="ar-SA"/>
      </w:rPr>
    </w:lvl>
    <w:lvl w:ilvl="5">
      <w:start w:val="0"/>
      <w:numFmt w:val="bullet"/>
      <w:lvlText w:val="•"/>
      <w:lvlJc w:val="left"/>
      <w:pPr>
        <w:ind w:left="4590" w:hanging="162"/>
      </w:pPr>
      <w:rPr>
        <w:rFonts w:hint="default"/>
        <w:lang w:val="en-US" w:eastAsia="en-US" w:bidi="ar-SA"/>
      </w:rPr>
    </w:lvl>
    <w:lvl w:ilvl="6">
      <w:start w:val="0"/>
      <w:numFmt w:val="bullet"/>
      <w:lvlText w:val="•"/>
      <w:lvlJc w:val="left"/>
      <w:pPr>
        <w:ind w:left="5484" w:hanging="162"/>
      </w:pPr>
      <w:rPr>
        <w:rFonts w:hint="default"/>
        <w:lang w:val="en-US" w:eastAsia="en-US" w:bidi="ar-SA"/>
      </w:rPr>
    </w:lvl>
    <w:lvl w:ilvl="7">
      <w:start w:val="0"/>
      <w:numFmt w:val="bullet"/>
      <w:lvlText w:val="•"/>
      <w:lvlJc w:val="left"/>
      <w:pPr>
        <w:ind w:left="6378" w:hanging="162"/>
      </w:pPr>
      <w:rPr>
        <w:rFonts w:hint="default"/>
        <w:lang w:val="en-US" w:eastAsia="en-US" w:bidi="ar-SA"/>
      </w:rPr>
    </w:lvl>
    <w:lvl w:ilvl="8">
      <w:start w:val="0"/>
      <w:numFmt w:val="bullet"/>
      <w:lvlText w:val="•"/>
      <w:lvlJc w:val="left"/>
      <w:pPr>
        <w:ind w:left="7272" w:hanging="16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10"/>
    </w:pPr>
    <w:rPr>
      <w:rFonts w:ascii="Calibri" w:hAnsi="Calibri" w:eastAsia="Calibri" w:cs="Calibri"/>
      <w:sz w:val="22"/>
      <w:szCs w:val="22"/>
      <w:lang w:val="en-US" w:eastAsia="en-US" w:bidi="ar-SA"/>
    </w:rPr>
  </w:style>
  <w:style w:styleId="Title" w:type="paragraph">
    <w:name w:val="Title"/>
    <w:basedOn w:val="Normal"/>
    <w:uiPriority w:val="1"/>
    <w:qFormat/>
    <w:pPr>
      <w:ind w:left="20"/>
    </w:pPr>
    <w:rPr>
      <w:rFonts w:ascii="Calibri" w:hAnsi="Calibri" w:eastAsia="Calibri" w:cs="Calibri"/>
      <w:sz w:val="24"/>
      <w:szCs w:val="24"/>
      <w:lang w:val="en-US" w:eastAsia="en-US" w:bidi="ar-SA"/>
    </w:rPr>
  </w:style>
  <w:style w:styleId="ListParagraph" w:type="paragraph">
    <w:name w:val="List Paragraph"/>
    <w:basedOn w:val="Normal"/>
    <w:uiPriority w:val="1"/>
    <w:qFormat/>
    <w:pPr>
      <w:ind w:left="110" w:right="104"/>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Paludo</dc:creator>
  <dc:title>Sem título</dc:title>
  <dcterms:created xsi:type="dcterms:W3CDTF">2024-03-13T18:07:15Z</dcterms:created>
  <dcterms:modified xsi:type="dcterms:W3CDTF">2024-03-13T18:07:15Z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Word</vt:lpwstr>
  </property>
  <property fmtid="{D5CDD505-2E9C-101B-9397-08002B2CF9AE}" pid="4" name="LastSaved">
    <vt:filetime>2024-03-13T00:00:00Z</vt:filetime>
  </property>
  <property fmtid="{D5CDD505-2E9C-101B-9397-08002B2CF9AE}" pid="5" name="Producer">
    <vt:lpwstr>macOS Versão 14.3 (Compilação 23D56) Quartz PDFContext</vt:lpwstr>
  </property>
</Properties>
</file>