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NormalTable"/>
        <w:name w:val="Tabela1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>
        <w:trPr>
          <w:tblHeader w:val="0"/>
          <w:cantSplit w:val="0"/>
          <w:trHeight w:val="0" w:hRule="auto"/>
        </w:trPr>
        <w:tc>
          <w:tcPr>
            <w:tcW w:w="8504" w:type="dxa"/>
            <w:gridSpan w:val="2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590178" protected="0"/>
          </w:tcPr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</w:rPr>
              <w:t>[EF-0001] Exercício – Módulo 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</w:r>
          </w:p>
        </w:tc>
        <w:tc>
          <w:tcPr>
            <w:tcW w:w="6803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Ícaro Siqueira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  <w:r>
              <w:rPr>
                <w:rFonts w:eastAsia="Times New Roman"/>
              </w:rPr>
            </w:r>
          </w:p>
        </w:tc>
        <w:tc>
          <w:tcPr>
            <w:tcW w:w="6803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Novo Sistema de Cadastro EBAC-Shop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2"/>
        <w:tabOrder w:val="0"/>
        <w:jc w:val="left"/>
        <w:tblInd w:w="0" w:type="dxa"/>
        <w:tblW w:w="8491" w:type="dxa"/>
        <w:tblLook w:val="04A0" w:firstRow="1" w:lastRow="0" w:firstColumn="1" w:lastColumn="0" w:noHBand="0" w:noVBand="1"/>
      </w:tblPr>
      <w:tblGrid>
        <w:gridCol w:w="1701"/>
        <w:gridCol w:w="6790"/>
      </w:tblGrid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590178" protected="0"/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6790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590178" protected="0"/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6790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Troca do sistema de cadastro de produtos na Ebac-Shop.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590178" protected="0"/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6790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 / Sistema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3"/>
        <w:tabOrder w:val="0"/>
        <w:jc w:val="center"/>
        <w:tblInd w:w="0" w:type="dxa"/>
        <w:tblW w:w="6536" w:type="dxa"/>
        <w:tblLook w:val="04A0" w:firstRow="1" w:lastRow="0" w:firstColumn="1" w:lastColumn="0" w:noHBand="0" w:noVBand="1"/>
      </w:tblPr>
      <w:tblGrid>
        <w:gridCol w:w="6356"/>
        <w:gridCol w:w="180"/>
      </w:tblGrid>
      <w:tr>
        <w:trPr>
          <w:tblHeader w:val="0"/>
          <w:cantSplit w:val="0"/>
          <w:trHeight w:val="0" w:hRule="auto"/>
        </w:trPr>
        <w:tc>
          <w:tcPr>
            <w:tcW w:w="6356" w:type="dxa"/>
            <w:vAlign w:val="center"/>
            <w:shd w:val="solid" w:color="BBBBBB" tmshd="1677721856, 0, 12303291"/>
            <w:tcMar>
              <w:top w:w="40" w:type="dxa"/>
              <w:left w:w="40" w:type="dxa"/>
              <w:bottom w:w="40" w:type="dxa"/>
              <w:right w:w="40" w:type="dxa"/>
            </w:tcMar>
            <w:tmTcPr id="1687590178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18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 w:val="1"/>
        </w:rPr>
      </w:pPr>
      <w:r>
        <w:rPr>
          <w:rFonts w:eastAsia="Times New Roman"/>
          <w:vanish w:val="1"/>
        </w:rPr>
      </w:r>
    </w:p>
    <w:tbl>
      <w:tblPr>
        <w:tblStyle w:val="NormalTable"/>
        <w:name w:val="Tabela4"/>
        <w:tabOrder w:val="0"/>
        <w:jc w:val="left"/>
        <w:tblInd w:w="0" w:type="dxa"/>
        <w:tblW w:w="8488" w:type="dxa"/>
        <w:tblLook w:val="04A0" w:firstRow="1" w:lastRow="0" w:firstColumn="1" w:lastColumn="0" w:noHBand="0" w:noVBand="1"/>
      </w:tblPr>
      <w:tblGrid>
        <w:gridCol w:w="8488"/>
      </w:tblGrid>
      <w:tr>
        <w:trPr>
          <w:tblHeader w:val="0"/>
          <w:cantSplit w:val="0"/>
          <w:trHeight w:val="0" w:hRule="auto"/>
        </w:trPr>
        <w:tc>
          <w:tcPr>
            <w:tcW w:w="8488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590178" protected="0"/>
          </w:tcPr>
          <w:p>
            <w:pPr>
              <w:pStyle w:val="para1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RN01:</w:t>
            </w:r>
            <w:r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>
              <w:rPr>
                <w:b w:val="0"/>
                <w:bCs w:val="0"/>
                <w:sz w:val="24"/>
                <w:szCs w:val="24"/>
              </w:rPr>
              <w:t>,00;</w:t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pStyle w:val="para1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RN02:</w:t>
            </w:r>
            <w:r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pStyle w:val="para1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RN03:</w:t>
            </w:r>
            <w:r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>
              <w:rPr>
                <w:b w:val="0"/>
                <w:bCs w:val="0"/>
                <w:sz w:val="24"/>
                <w:szCs w:val="24"/>
              </w:rPr>
              <w:t xml:space="preserve"> itens por vez;</w:t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pStyle w:val="para1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RN04: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pStyle w:val="para9"/>
            </w:pPr>
            <w:r/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5"/>
        <w:tabOrder w:val="0"/>
        <w:jc w:val="center"/>
        <w:tblInd w:w="0" w:type="dxa"/>
        <w:tblW w:w="6656" w:type="dxa"/>
        <w:tblLook w:val="04A0" w:firstRow="1" w:lastRow="0" w:firstColumn="1" w:lastColumn="0" w:noHBand="0" w:noVBand="1"/>
      </w:tblPr>
      <w:tblGrid>
        <w:gridCol w:w="6476"/>
        <w:gridCol w:w="180"/>
      </w:tblGrid>
      <w:tr>
        <w:trPr>
          <w:tblHeader w:val="0"/>
          <w:cantSplit w:val="0"/>
          <w:trHeight w:val="0" w:hRule="auto"/>
        </w:trPr>
        <w:tc>
          <w:tcPr>
            <w:tcW w:w="6476" w:type="dxa"/>
            <w:vAlign w:val="center"/>
            <w:shd w:val="solid" w:color="BBBBBB" tmshd="1677721856, 0, 12303291"/>
            <w:tcMar>
              <w:top w:w="40" w:type="dxa"/>
              <w:left w:w="40" w:type="dxa"/>
              <w:bottom w:w="40" w:type="dxa"/>
              <w:right w:w="40" w:type="dxa"/>
            </w:tcMar>
            <w:tmTcPr id="1687590178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18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 w:val="1"/>
        </w:rPr>
      </w:pPr>
      <w:r>
        <w:rPr>
          <w:rFonts w:eastAsia="Times New Roman"/>
          <w:vanish w:val="1"/>
        </w:rPr>
      </w:r>
    </w:p>
    <w:tbl>
      <w:tblPr>
        <w:tblStyle w:val="TableGrid"/>
        <w:name w:val="Tabela6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967"/>
        <w:gridCol w:w="981"/>
        <w:gridCol w:w="5440"/>
        <w:gridCol w:w="1116"/>
      </w:tblGrid>
      <w:tr>
        <w:trPr>
          <w:tblHeader w:val="0"/>
          <w:cantSplit w:val="0"/>
          <w:trHeight w:val="0" w:hRule="auto"/>
        </w:trPr>
        <w:tc>
          <w:tcPr>
            <w:tcW w:w="967" w:type="dxa"/>
            <w:shd w:val="solid" w:color="BFBFBF" tmshd="1677721856, 0, 12566463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81" w:type="dxa"/>
            <w:shd w:val="solid" w:color="BFBFBF" tmshd="1677721856, 0, 12566463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440" w:type="dxa"/>
            <w:shd w:val="solid" w:color="BFBFBF" tmshd="1677721856, 0, 12566463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16" w:type="dxa"/>
            <w:shd w:val="solid" w:color="BFBFBF" tmshd="1677721856, 0, 12566463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  <w:highlight w:val="yellow"/>
              </w:rPr>
            </w:pPr>
            <w:r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  <w:highlight w:val="yellow"/>
              </w:rPr>
            </w:pPr>
            <w:r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Cadastro de produtos com valores maiores que 150,00</w:t>
            </w:r>
            <w:r>
              <w:rPr>
                <w:rFonts w:eastAsia="Times New Roman"/>
              </w:rPr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inválido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49,99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>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50,00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007f00"/>
              </w:rPr>
            </w:pPr>
            <w:r>
              <w:rPr>
                <w:rFonts w:eastAsia="Times New Roman"/>
                <w:color w:val="007f00"/>
              </w:rPr>
              <w:t>válido</w:t>
            </w:r>
          </w:p>
        </w:tc>
      </w:tr>
      <w:tr>
        <w:trPr>
          <w:tblHeader w:val="0"/>
          <w:cantSplit w:val="0"/>
          <w:trHeight w:val="267" w:hRule="atLeast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50,01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007f00"/>
              </w:rPr>
            </w:pPr>
            <w:r>
              <w:rPr>
                <w:rFonts w:eastAsia="Times New Roman"/>
                <w:color w:val="007f00"/>
              </w:rPr>
              <w:t>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149,99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007f00"/>
              </w:rPr>
            </w:pPr>
            <w:r>
              <w:rPr>
                <w:rFonts w:eastAsia="Times New Roman"/>
                <w:color w:val="007f00"/>
              </w:rPr>
              <w:t>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de 150,00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007f00"/>
              </w:rPr>
            </w:pPr>
            <w:r>
              <w:rPr>
                <w:rFonts w:eastAsia="Times New Roman"/>
                <w:color w:val="007f00"/>
              </w:rPr>
              <w:t>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de 150,01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>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Renovar produto com 50 dias de cadastro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>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Renovar produto com 94 dias de cadastro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007f00"/>
              </w:rPr>
            </w:pPr>
            <w:r>
              <w:rPr>
                <w:rFonts w:eastAsia="Times New Roman"/>
                <w:color w:val="007f00"/>
              </w:rPr>
              <w:t>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200 itens de uma vez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>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100 itens de uma vez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007f00"/>
              </w:rPr>
            </w:pPr>
            <w:r>
              <w:rPr>
                <w:rFonts w:eastAsia="Times New Roman"/>
                <w:color w:val="007f00"/>
              </w:rPr>
              <w:t>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item com quantidade 0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>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CT13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produto logado como cliente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>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7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CT14</w:t>
            </w:r>
          </w:p>
        </w:tc>
        <w:tc>
          <w:tcPr>
            <w:tcW w:w="981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440" w:type="dxa"/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produto logado como administrador válido</w:t>
            </w:r>
          </w:p>
        </w:tc>
        <w:tc>
          <w:tcPr>
            <w:tcW w:w="1116" w:type="dxa"/>
            <w:tmTcPr id="1687590178" protected="0"/>
          </w:tcPr>
          <w:p>
            <w:pPr>
              <w:rPr>
                <w:rFonts w:eastAsia="Times New Roman"/>
                <w:color w:val="007f00"/>
              </w:rPr>
            </w:pPr>
            <w:r>
              <w:rPr>
                <w:rFonts w:eastAsia="Times New Roman"/>
                <w:color w:val="007f00"/>
              </w:rPr>
              <w:t>válido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>Obs.: Escreva pelo menos 10 cenários de testes baseados nas regras de negócio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7"/>
        <w:tabOrder w:val="0"/>
        <w:jc w:val="center"/>
        <w:tblInd w:w="0" w:type="dxa"/>
        <w:tblW w:w="7149" w:type="dxa"/>
        <w:tblLook w:val="04A0" w:firstRow="1" w:lastRow="0" w:firstColumn="1" w:lastColumn="0" w:noHBand="0" w:noVBand="1"/>
      </w:tblPr>
      <w:tblGrid>
        <w:gridCol w:w="6969"/>
        <w:gridCol w:w="180"/>
      </w:tblGrid>
      <w:tr>
        <w:trPr>
          <w:tblHeader w:val="0"/>
          <w:cantSplit w:val="0"/>
          <w:trHeight w:val="0" w:hRule="auto"/>
        </w:trPr>
        <w:tc>
          <w:tcPr>
            <w:tcW w:w="6969" w:type="dxa"/>
            <w:vAlign w:val="center"/>
            <w:shd w:val="solid" w:color="BBBBBB" tmshd="1677721856, 0, 12303291"/>
            <w:tcMar>
              <w:top w:w="40" w:type="dxa"/>
              <w:left w:w="40" w:type="dxa"/>
              <w:bottom w:w="40" w:type="dxa"/>
              <w:right w:w="40" w:type="dxa"/>
            </w:tcMar>
            <w:tmTcPr id="1687590178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18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8"/>
        <w:tabOrder w:val="0"/>
        <w:jc w:val="left"/>
        <w:tblInd w:w="528" w:type="dxa"/>
        <w:tblW w:w="7831" w:type="dxa"/>
        <w:tblLook w:val="0000" w:firstRow="0" w:lastRow="0" w:firstColumn="0" w:lastColumn="0" w:noHBand="0" w:noVBand="0"/>
      </w:tblPr>
      <w:tblGrid>
        <w:gridCol w:w="4003"/>
        <w:gridCol w:w="3828"/>
      </w:tblGrid>
      <w:tr>
        <w:trPr>
          <w:tblHeader w:val="0"/>
          <w:cantSplit w:val="0"/>
          <w:trHeight w:val="353" w:hRule="atLeast"/>
        </w:trPr>
        <w:tc>
          <w:tcPr>
            <w:tcW w:w="4003" w:type="dxa"/>
            <w:tcMar>
              <w:left w:w="70" w:type="dxa"/>
              <w:right w:w="7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none"/>
            <w:tcMar>
              <w:left w:w="70" w:type="dxa"/>
              <w:right w:w="7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>
        <w:trPr>
          <w:tblHeader w:val="0"/>
          <w:cantSplit w:val="0"/>
          <w:trHeight w:val="2763" w:hRule="atLeast"/>
        </w:trPr>
        <w:tc>
          <w:tcPr>
            <w:tcW w:w="4003" w:type="dxa"/>
            <w:tcMar>
              <w:left w:w="70" w:type="dxa"/>
              <w:right w:w="7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CT03-Cadastro de produto com valor 50,00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CT06-Cadastro de produto com valor de 150,00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CT11-Cadastrar 100 itens de uma vez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CT08-Renovar produto com 50 dias de cadastro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828" w:type="dxa"/>
            <w:shd w:val="none"/>
            <w:tcMar>
              <w:left w:w="70" w:type="dxa"/>
              <w:right w:w="7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CT09-Renovar produto com 94 dias de cadastro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CT10-Cadastrar 200 itens de uma vez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CT12-Cadastrar item com quantidade 0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4003" w:type="dxa"/>
            <w:shd w:val="none"/>
            <w:tcMar>
              <w:left w:w="70" w:type="dxa"/>
              <w:right w:w="7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  <w:tcMar>
              <w:left w:w="70" w:type="dxa"/>
              <w:right w:w="7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>
        <w:trPr>
          <w:tblHeader w:val="0"/>
          <w:cantSplit w:val="0"/>
          <w:trHeight w:val="3109" w:hRule="atLeast"/>
        </w:trPr>
        <w:tc>
          <w:tcPr>
            <w:tcW w:w="4003" w:type="dxa"/>
            <w:shd w:val="none"/>
            <w:tcMar>
              <w:left w:w="70" w:type="dxa"/>
              <w:right w:w="7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rPr>
                <w:rFonts w:eastAsia="Times New Roman"/>
                <w:highlight w:val="yellow"/>
              </w:rPr>
            </w:pPr>
            <w:r>
              <w:rPr>
                <w:rFonts w:eastAsia="Times New Roman"/>
                <w:highlight w:val="yellow"/>
              </w:rPr>
              <w:t>CT01</w:t>
            </w:r>
            <w:r>
              <w:rPr>
                <w:rFonts w:eastAsia="Times New Roman"/>
              </w:rPr>
              <w:t xml:space="preserve"> - </w:t>
            </w:r>
            <w:r>
              <w:rPr>
                <w:rFonts w:eastAsia="Times New Roman"/>
                <w:highlight w:val="yellow"/>
              </w:rPr>
              <w:t>Cadastro de produtos com valores maiores que 150,00</w:t>
            </w:r>
            <w:r>
              <w:rPr>
                <w:rFonts w:eastAsia="Times New Roman"/>
                <w:highlight w:val="yellow"/>
              </w:rPr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CT02-Cadastro de produto com valor 49,99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CT04-Cadastro de produto com valor 50,01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CT05-Cadastro de produto com valor 149,99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CT07-Cadastro de produto com valor de 150,01</w:t>
            </w:r>
          </w:p>
        </w:tc>
        <w:tc>
          <w:tcPr>
            <w:tcW w:w="3828" w:type="dxa"/>
            <w:tcMar>
              <w:left w:w="70" w:type="dxa"/>
              <w:right w:w="7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CT13-Cadastrar produto logado como cliente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CT14-Cadastrar produto logado como administrador válido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>Obs.: Após escrever os cenários, identifique o impacto e probabilidade de cada cenário e jogue na matriz de risco.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9"/>
        <w:tabOrder w:val="0"/>
        <w:jc w:val="center"/>
        <w:tblInd w:w="0" w:type="dxa"/>
        <w:tblW w:w="7135" w:type="dxa"/>
        <w:tblLook w:val="04A0" w:firstRow="1" w:lastRow="0" w:firstColumn="1" w:lastColumn="0" w:noHBand="0" w:noVBand="1"/>
      </w:tblPr>
      <w:tblGrid>
        <w:gridCol w:w="6955"/>
        <w:gridCol w:w="180"/>
      </w:tblGrid>
      <w:tr>
        <w:trPr>
          <w:tblHeader w:val="0"/>
          <w:cantSplit w:val="0"/>
          <w:trHeight w:val="0" w:hRule="auto"/>
        </w:trPr>
        <w:tc>
          <w:tcPr>
            <w:tcW w:w="6955" w:type="dxa"/>
            <w:vAlign w:val="center"/>
            <w:shd w:val="solid" w:color="BBBBBB" tmshd="1677721856, 0, 12303291"/>
            <w:tcMar>
              <w:top w:w="40" w:type="dxa"/>
              <w:left w:w="40" w:type="dxa"/>
              <w:bottom w:w="40" w:type="dxa"/>
              <w:right w:w="40" w:type="dxa"/>
            </w:tcMar>
            <w:tmTcPr id="1687590178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18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mTcPr id="168759017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  <w:br w:type="textWrapping"/>
      </w:r>
      <w:r>
        <w:rPr>
          <w:rFonts w:eastAsia="Times New Roman"/>
          <w:b/>
          <w:bCs/>
        </w:rPr>
        <w:t>Quadrante 4 da matriz</w:t>
      </w:r>
      <w:r>
        <w:rPr>
          <w:rFonts w:eastAsia="Times New Roman"/>
        </w:rPr>
        <w:t xml:space="preserve"> [Alta Probabilidade/Alto Impacto]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ind w:firstLine="56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(CT09- Renovar produto com 94 dias de cadastro, CT10- Cadastrar 200 itens de uma vez, CT12- Cadastrar item com quantidade 0)</w:t>
      </w:r>
    </w:p>
    <w:p>
      <w:pPr>
        <w:ind w:firstLine="567"/>
        <w:rPr>
          <w:rFonts w:eastAsia="Times New Roman"/>
        </w:rPr>
      </w:pPr>
      <w:r>
        <w:rPr>
          <w:rFonts w:eastAsia="Times New Roman"/>
        </w:rPr>
      </w:r>
    </w:p>
    <w:p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Como são operações comuns e importantíssimas no dia a dia do estabelecimento, um defeito no processamento destes dados pode levar a falhas graves como: </w:t>
      </w:r>
    </w:p>
    <w:p>
      <w:pPr>
        <w:numPr>
          <w:ilvl w:val="0"/>
          <w:numId w:val="2"/>
        </w:numPr>
        <w:ind w:left="360" w:firstLine="207"/>
        <w:rPr>
          <w:rFonts w:eastAsia="Times New Roman"/>
        </w:rPr>
      </w:pPr>
      <w:r>
        <w:rPr>
          <w:rFonts w:eastAsia="Times New Roman"/>
        </w:rPr>
        <w:t>Estoque de produtos fora da coleção.</w:t>
      </w:r>
    </w:p>
    <w:p>
      <w:pPr>
        <w:numPr>
          <w:ilvl w:val="0"/>
          <w:numId w:val="2"/>
        </w:numPr>
        <w:ind w:left="360" w:firstLine="207"/>
        <w:rPr>
          <w:rFonts w:eastAsia="Times New Roman"/>
        </w:rPr>
      </w:pPr>
      <w:r>
        <w:rPr>
          <w:rFonts w:eastAsia="Times New Roman"/>
        </w:rPr>
        <w:t xml:space="preserve">Excesso de produtos em estoque. </w:t>
      </w:r>
    </w:p>
    <w:p>
      <w:pPr>
        <w:numPr>
          <w:ilvl w:val="0"/>
          <w:numId w:val="2"/>
        </w:numPr>
        <w:ind w:left="360" w:firstLine="207"/>
        <w:rPr>
          <w:rFonts w:eastAsia="Times New Roman"/>
        </w:rPr>
      </w:pPr>
      <w:r>
        <w:rPr>
          <w:rFonts w:eastAsia="Times New Roman"/>
        </w:rPr>
        <w:t xml:space="preserve">Cadastro de um produto sem estoque 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ind w:firstLine="397"/>
        <w:widowControl w:val="0"/>
        <w:tabs defTabSz="708">
          <w:tab w:val="left" w:pos="567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kern w:val="1"/>
          <w:sz w:val="20"/>
          <w:szCs w:val="20"/>
          <w:lang w:val="pt-br" w:eastAsia="zh-cn" w:bidi="ar-sa"/>
        </w:rPr>
      </w:pPr>
      <w:r>
        <w:rPr>
          <w:rFonts w:eastAsia="Times New Roman"/>
          <w:kern w:val="1"/>
          <w:sz w:val="20"/>
          <w:szCs w:val="20"/>
          <w:lang w:val="pt-br" w:eastAsia="zh-cn" w:bidi="ar-sa"/>
        </w:rPr>
      </w:r>
    </w:p>
    <w:p>
      <w:pPr>
        <w:ind w:firstLine="397"/>
        <w:widowControl w:val="0"/>
        <w:tabs defTabSz="708">
          <w:tab w:val="left" w:pos="567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kern w:val="1"/>
          <w:sz w:val="20"/>
          <w:szCs w:val="20"/>
          <w:lang w:val="pt-br" w:eastAsia="zh-cn" w:bidi="ar-sa"/>
        </w:rPr>
      </w:pPr>
      <w:r>
        <w:rPr>
          <w:rFonts w:eastAsia="Times New Roman"/>
          <w:kern w:val="1"/>
          <w:sz w:val="20"/>
          <w:szCs w:val="20"/>
          <w:lang w:val="pt-br" w:eastAsia="zh-cn" w:bidi="ar-sa"/>
        </w:rPr>
      </w:r>
    </w:p>
    <w:p>
      <w:pPr>
        <w:ind w:firstLine="397"/>
        <w:widowControl w:val="0"/>
        <w:tabs defTabSz="708">
          <w:tab w:val="left" w:pos="567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kern w:val="1"/>
          <w:sz w:val="20"/>
          <w:szCs w:val="20"/>
          <w:lang w:val="pt-br" w:eastAsia="zh-cn" w:bidi="ar-sa"/>
        </w:rPr>
      </w:pPr>
      <w:r>
        <w:rPr>
          <w:rFonts w:eastAsia="Times New Roman"/>
          <w:kern w:val="1"/>
          <w:sz w:val="20"/>
          <w:szCs w:val="20"/>
          <w:lang w:val="pt-br" w:eastAsia="zh-cn" w:bidi="ar-sa"/>
        </w:rPr>
      </w:r>
    </w:p>
    <w:p>
      <w:pPr>
        <w:ind w:left="360" w:firstLine="567"/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Quadrante 3 da matriz </w:t>
      </w:r>
      <w:r>
        <w:rPr>
          <w:rFonts w:eastAsia="Times New Roman"/>
        </w:rPr>
        <w:t>[Baixa Probabilidade/ Alto impacto]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(CT13- Cadastrar produto logado como cliente)</w:t>
      </w:r>
      <w:r>
        <w:rPr>
          <w:rFonts w:eastAsia="Times New Roman"/>
        </w:rPr>
      </w:r>
    </w:p>
    <w:p>
      <w:pPr>
        <w:ind w:firstLine="567"/>
        <w:rPr>
          <w:rFonts w:eastAsia="Times New Roman"/>
        </w:rPr>
      </w:pPr>
      <w:r>
        <w:rPr>
          <w:rFonts w:eastAsia="Times New Roman"/>
        </w:rPr>
      </w:r>
    </w:p>
    <w:p>
      <w:pPr>
        <w:ind w:firstLine="567"/>
        <w:rPr>
          <w:rFonts w:eastAsia="Times New Roman"/>
        </w:rPr>
      </w:pPr>
      <w:r>
        <w:rPr>
          <w:rFonts w:eastAsia="Times New Roman"/>
        </w:rPr>
        <w:t>Como o acesso ao sistema se dá apenas pelo portal administrativo, a probabilidade de um usuário com a conta de cliente realizar login no sistema é baixa, porém caso isso ocorra, iria gerar um alto impacto no funcionamento, como o cadastro indevido de produtos, alteração de quantidades em estoque etc.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ind w:firstLine="56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(CT14- Cadastrar produto logado como administrador)</w:t>
      </w:r>
    </w:p>
    <w:p>
      <w:pPr>
        <w:ind w:firstLine="567"/>
        <w:rPr>
          <w:rFonts w:eastAsia="Times New Roman"/>
          <w:b/>
          <w:bCs/>
        </w:rPr>
      </w:pPr>
      <w:r>
        <w:rPr>
          <w:rFonts w:eastAsia="Times New Roman"/>
          <w:b/>
          <w:bCs/>
        </w:rPr>
      </w:r>
    </w:p>
    <w:p>
      <w:pPr>
        <w:ind w:firstLine="567"/>
        <w:widowControl w:val="0"/>
        <w:tabs defTabSz="708">
          <w:tab w:val="left" w:pos="567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kern w:val="1"/>
          <w:lang w:val="pt-br" w:eastAsia="zh-cn" w:bidi="ar-sa"/>
        </w:rPr>
      </w:pPr>
      <w:r>
        <w:rPr>
          <w:rFonts w:eastAsia="Times New Roman"/>
          <w:kern w:val="1"/>
          <w:lang w:val="pt-br" w:eastAsia="zh-cn" w:bidi="ar-sa"/>
        </w:rPr>
        <w:t>Embora improvável, há a possibilidade de um usuário cliente acessar a página de login do painel administrativo, mesmo com endereços distintos e restrições de acesso. Portanto, restringir o cadastro de itens a administradores válidos é crucial para evitar o acesso de ex-colaboradores ao portal administrativo.</w:t>
      </w:r>
    </w:p>
    <w:p>
      <w:pPr>
        <w:ind w:firstLine="567"/>
        <w:widowControl w:val="0"/>
        <w:tabs defTabSz="708">
          <w:tab w:val="left" w:pos="567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kern w:val="1"/>
          <w:lang w:val="pt-br" w:eastAsia="zh-cn" w:bidi="ar-sa"/>
        </w:rPr>
      </w:pPr>
      <w:r>
        <w:rPr>
          <w:rFonts w:eastAsia="Times New Roman"/>
          <w:kern w:val="1"/>
          <w:lang w:val="pt-br" w:eastAsia="zh-cn" w:bidi="ar-sa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•"/>
      <w:lvlJc w:val="left"/>
      <w:pPr>
        <w:ind w:left="360" w:hanging="0"/>
      </w:pPr>
      <w:rPr>
        <w:rFonts w:ascii="Arial" w:hAnsi="Arial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numFmt w:val="bullet"/>
      <w:suff w:val="tab"/>
      <w:lvlText w:val="•"/>
      <w:lvlJc w:val="left"/>
      <w:pPr>
        <w:ind w:left="1800" w:hanging="0"/>
      </w:pPr>
      <w:rPr>
        <w:rFonts w:ascii="Arial" w:hAnsi="Arial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Arial" w:hAnsi="Arial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Arial" w:hAnsi="Arial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Arial" w:hAnsi="Arial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Arial" w:hAnsi="Arial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Arial" w:hAnsi="Arial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Arial" w:hAnsi="Arial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5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7590178" w:val="1066" w:fileVer="342" w:fileVerOS="4">
    <w:pdfExportOpt pagesRangeIndex="1" pagesSelectionIndex="0" qualityIndex="0" embedFonts="2" useJpegs="0" useSubsetFonts="1" useAlpha="1" relativeLinks="0" useInteractiveForms="0" taggedPdf="0" pane="0" zoom="0" zoomScale="100" layout="0" includeDoc="0" viewFlags="0" openViewer="1" jpegQuality="90" flags="252" tocGen="0" tocLevels="9" exportComments="0" exportChanges="0" name="D:\Estudos\Estudo-Cursos\EBAC\Modulo V\exercicios\exercicio-5-realizado-v2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Calibri"/>
      <w:sz w:val="24"/>
      <w:szCs w:val="24"/>
    </w:rPr>
  </w:style>
  <w:style w:type="paragraph" w:styleId="para1">
    <w:name w:val="heading 3"/>
    <w:qFormat/>
    <w:basedOn w:val="para0"/>
    <w:pPr>
      <w:spacing w:before="100" w:after="100" w:beforeAutospacing="1" w:afterAutospacing="1"/>
      <w:outlineLvl w:val="2"/>
    </w:pPr>
    <w:rPr>
      <w:b/>
      <w:bCs/>
      <w:sz w:val="27"/>
      <w:szCs w:val="27"/>
    </w:rPr>
  </w:style>
  <w:style w:type="paragraph" w:styleId="para2" w:customStyle="1">
    <w:name w:val="msonormal"/>
    <w:qFormat/>
    <w:basedOn w:val="para0"/>
    <w:pPr>
      <w:spacing w:before="100" w:after="100" w:beforeAutospacing="1" w:afterAutospacing="1"/>
    </w:pPr>
  </w:style>
  <w:style w:type="paragraph" w:styleId="para3" w:customStyle="1">
    <w:name w:val="tableborder"/>
    <w:qFormat/>
    <w:basedOn w:val="para0"/>
    <w:pPr>
      <w:spacing w:before="100" w:after="100" w:beforeAutospacing="1" w:afterAutospacing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</w:style>
  <w:style w:type="paragraph" w:styleId="para4" w:customStyle="1">
    <w:name w:val="grid"/>
    <w:qFormat/>
    <w:basedOn w:val="para0"/>
    <w:pPr>
      <w:spacing w:before="100" w:after="100" w:beforeAutospacing="1" w:afterAutospacing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</w:style>
  <w:style w:type="paragraph" w:styleId="para5" w:customStyle="1">
    <w:name w:val="tablabel"/>
    <w:qFormat/>
    <w:basedOn w:val="para0"/>
    <w:pPr>
      <w:spacing w:before="100" w:after="100" w:beforeAutospacing="1" w:afterAutospacing="1"/>
      <w:pBdr>
        <w:top w:val="single" w:sz="6" w:space="2" w:color="CCCCCC" tmln="15, 20, 20, 0, 40"/>
        <w:left w:val="single" w:sz="6" w:space="2" w:color="CCCCCC" tmln="15, 20, 20, 0, 40"/>
        <w:bottom w:val="nil" w:sz="0" w:space="3" w:color="000000" tmln="20, 20, 20, 0, 60"/>
        <w:right w:val="single" w:sz="6" w:space="2" w:color="CCCCCC" tmln="15, 20, 20, 0, 40"/>
        <w:between w:val="nil" w:sz="0" w:space="0" w:color="000000" tmln="20, 20, 20, 0, 0"/>
      </w:pBdr>
      <w:shd w:val="none"/>
    </w:pPr>
    <w:rPr>
      <w:b/>
      <w:bCs/>
    </w:rPr>
  </w:style>
  <w:style w:type="paragraph" w:styleId="para6" w:customStyle="1">
    <w:name w:val="subtext"/>
    <w:qFormat/>
    <w:basedOn w:val="para0"/>
    <w:pPr>
      <w:spacing w:before="100" w:after="100" w:beforeAutospacing="1" w:afterAutospacing="1"/>
    </w:pPr>
  </w:style>
  <w:style w:type="paragraph" w:styleId="para7" w:customStyle="1">
    <w:name w:val="nopadding"/>
    <w:qFormat/>
    <w:basedOn w:val="para0"/>
    <w:pPr>
      <w:spacing w:before="100" w:after="100" w:beforeAutospacing="1" w:afterAutospacing="1"/>
    </w:pPr>
  </w:style>
  <w:style w:type="paragraph" w:styleId="para8" w:customStyle="1">
    <w:name w:val="subtext1"/>
    <w:qFormat/>
    <w:basedOn w:val="para0"/>
    <w:pPr>
      <w:spacing w:before="100" w:after="100" w:beforeAutospacing="1" w:afterAutospacing="1"/>
    </w:pPr>
    <w:rPr>
      <w:sz w:val="14"/>
      <w:szCs w:val="14"/>
    </w:rPr>
  </w:style>
  <w:style w:type="paragraph" w:styleId="para9">
    <w:name w:val="Normal (Web)"/>
    <w:qFormat/>
    <w:basedOn w:val="para0"/>
    <w:pPr>
      <w:spacing w:before="100" w:after="100" w:beforeAutospacing="1" w:afterAutospacing="1"/>
    </w:pPr>
  </w:style>
  <w:style w:type="character" w:styleId="char0" w:default="1">
    <w:name w:val="Default Paragraph Font"/>
  </w:style>
  <w:style w:type="character" w:styleId="char1" w:customStyle="1">
    <w:name w:val="Título 3 Char"/>
    <w:basedOn w:val="char0"/>
    <w:rPr>
      <w:rFonts w:ascii="Calibri Light" w:hAnsi="Calibri Light" w:eastAsia="Calibri Light" w:cs="Calibri Light"/>
      <w:color w:val="1f3763"/>
      <w:sz w:val="24"/>
      <w:szCs w:val="24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Calibri"/>
      <w:sz w:val="24"/>
      <w:szCs w:val="24"/>
    </w:rPr>
  </w:style>
  <w:style w:type="paragraph" w:styleId="para1">
    <w:name w:val="heading 3"/>
    <w:qFormat/>
    <w:basedOn w:val="para0"/>
    <w:pPr>
      <w:spacing w:before="100" w:after="100" w:beforeAutospacing="1" w:afterAutospacing="1"/>
      <w:outlineLvl w:val="2"/>
    </w:pPr>
    <w:rPr>
      <w:b/>
      <w:bCs/>
      <w:sz w:val="27"/>
      <w:szCs w:val="27"/>
    </w:rPr>
  </w:style>
  <w:style w:type="paragraph" w:styleId="para2" w:customStyle="1">
    <w:name w:val="msonormal"/>
    <w:qFormat/>
    <w:basedOn w:val="para0"/>
    <w:pPr>
      <w:spacing w:before="100" w:after="100" w:beforeAutospacing="1" w:afterAutospacing="1"/>
    </w:pPr>
  </w:style>
  <w:style w:type="paragraph" w:styleId="para3" w:customStyle="1">
    <w:name w:val="tableborder"/>
    <w:qFormat/>
    <w:basedOn w:val="para0"/>
    <w:pPr>
      <w:spacing w:before="100" w:after="100" w:beforeAutospacing="1" w:afterAutospacing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</w:style>
  <w:style w:type="paragraph" w:styleId="para4" w:customStyle="1">
    <w:name w:val="grid"/>
    <w:qFormat/>
    <w:basedOn w:val="para0"/>
    <w:pPr>
      <w:spacing w:before="100" w:after="100" w:beforeAutospacing="1" w:afterAutospacing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</w:style>
  <w:style w:type="paragraph" w:styleId="para5" w:customStyle="1">
    <w:name w:val="tablabel"/>
    <w:qFormat/>
    <w:basedOn w:val="para0"/>
    <w:pPr>
      <w:spacing w:before="100" w:after="100" w:beforeAutospacing="1" w:afterAutospacing="1"/>
      <w:pBdr>
        <w:top w:val="single" w:sz="6" w:space="2" w:color="CCCCCC" tmln="15, 20, 20, 0, 40"/>
        <w:left w:val="single" w:sz="6" w:space="2" w:color="CCCCCC" tmln="15, 20, 20, 0, 40"/>
        <w:bottom w:val="nil" w:sz="0" w:space="3" w:color="000000" tmln="20, 20, 20, 0, 60"/>
        <w:right w:val="single" w:sz="6" w:space="2" w:color="CCCCCC" tmln="15, 20, 20, 0, 40"/>
        <w:between w:val="nil" w:sz="0" w:space="0" w:color="000000" tmln="20, 20, 20, 0, 0"/>
      </w:pBdr>
      <w:shd w:val="none"/>
    </w:pPr>
    <w:rPr>
      <w:b/>
      <w:bCs/>
    </w:rPr>
  </w:style>
  <w:style w:type="paragraph" w:styleId="para6" w:customStyle="1">
    <w:name w:val="subtext"/>
    <w:qFormat/>
    <w:basedOn w:val="para0"/>
    <w:pPr>
      <w:spacing w:before="100" w:after="100" w:beforeAutospacing="1" w:afterAutospacing="1"/>
    </w:pPr>
  </w:style>
  <w:style w:type="paragraph" w:styleId="para7" w:customStyle="1">
    <w:name w:val="nopadding"/>
    <w:qFormat/>
    <w:basedOn w:val="para0"/>
    <w:pPr>
      <w:spacing w:before="100" w:after="100" w:beforeAutospacing="1" w:afterAutospacing="1"/>
    </w:pPr>
  </w:style>
  <w:style w:type="paragraph" w:styleId="para8" w:customStyle="1">
    <w:name w:val="subtext1"/>
    <w:qFormat/>
    <w:basedOn w:val="para0"/>
    <w:pPr>
      <w:spacing w:before="100" w:after="100" w:beforeAutospacing="1" w:afterAutospacing="1"/>
    </w:pPr>
    <w:rPr>
      <w:sz w:val="14"/>
      <w:szCs w:val="14"/>
    </w:rPr>
  </w:style>
  <w:style w:type="paragraph" w:styleId="para9">
    <w:name w:val="Normal (Web)"/>
    <w:qFormat/>
    <w:basedOn w:val="para0"/>
    <w:pPr>
      <w:spacing w:before="100" w:after="100" w:beforeAutospacing="1" w:afterAutospacing="1"/>
    </w:pPr>
  </w:style>
  <w:style w:type="character" w:styleId="char0" w:default="1">
    <w:name w:val="Default Paragraph Font"/>
  </w:style>
  <w:style w:type="character" w:styleId="char1" w:customStyle="1">
    <w:name w:val="Título 3 Char"/>
    <w:basedOn w:val="char0"/>
    <w:rPr>
      <w:rFonts w:ascii="Calibri Light" w:hAnsi="Calibri Light" w:eastAsia="Calibri Light" w:cs="Calibri Light"/>
      <w:color w:val="1f3763"/>
      <w:sz w:val="24"/>
      <w:szCs w:val="24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/>
  <cp:revision>11</cp:revision>
  <cp:lastPrinted>2023-06-24T06:59:02Z</cp:lastPrinted>
  <dcterms:created xsi:type="dcterms:W3CDTF">2021-06-23T05:59:00Z</dcterms:created>
  <dcterms:modified xsi:type="dcterms:W3CDTF">2023-06-24T07:02:58Z</dcterms:modified>
</cp:coreProperties>
</file>