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4C7E"/>
          <w:sz w:val="56"/>
          <w:szCs w:val="56"/>
        </w:rPr>
        <w:t xml:space="preserve">BE THE CRO</w:t>
      </w:r>
    </w:p>
    <w:p>
      <w:pPr>
        <w:spacing w:after="200"/>
        <w:jc w:val="center"/>
      </w:pPr>
      <w:r>
        <w:rPr>
          <w:rFonts w:ascii="Arial" w:cs="Arial" w:eastAsia="Arial" w:hAnsi="Arial"/>
          <w:color w:val="3D6098"/>
          <w:sz w:val="32"/>
          <w:szCs w:val="32"/>
        </w:rPr>
        <w:t xml:space="preserve">An Interactive Risk Management Game</w:t>
      </w:r>
    </w:p>
    <w:p>
      <w:pPr>
        <w:spacing w:after="600"/>
        <w:jc w:val="center"/>
      </w:pPr>
      <w:r>
        <w:rPr>
          <w:rFonts w:ascii="Arial" w:cs="Arial" w:eastAsia="Arial" w:hAnsi="Arial"/>
          <w:color w:val="666666"/>
          <w:sz w:val="24"/>
          <w:szCs w:val="24"/>
        </w:rPr>
        <w:t xml:space="preserve">Build Specification for Claude Code</w:t>
      </w:r>
    </w:p>
    <w:p>
      <w:pPr>
        <w:spacing w:after="100"/>
        <w:jc w:val="center"/>
      </w:pPr>
      <w:r>
        <w:rPr>
          <w:rFonts w:ascii="Arial" w:cs="Arial" w:eastAsia="Arial" w:hAnsi="Arial"/>
          <w:color w:val="888888"/>
          <w:sz w:val="22"/>
          <w:szCs w:val="22"/>
        </w:rPr>
        <w:t xml:space="preserve">Version 1.0 — March 2026</w:t>
      </w:r>
    </w:p>
    <w:p>
      <w:pPr>
        <w:jc w:val="center"/>
      </w:pPr>
      <w:r>
        <w:rPr>
          <w:rFonts w:ascii="Arial" w:cs="Arial" w:eastAsia="Arial" w:hAnsi="Arial"/>
          <w:color w:val="888888"/>
          <w:sz w:val="22"/>
          <w:szCs w:val="22"/>
        </w:rPr>
        <w:t xml:space="preserve">Target: L&amp;G Risk Away Day, week of 24 March 2026</w:t>
      </w:r>
    </w:p>
    <w:p>
      <w:r>
        <w:br w:type="page"/>
      </w:r>
    </w:p>
    <w:p>
      <w:pPr>
        <w:pStyle w:val="Heading1"/>
      </w:pPr>
      <w:r>
        <w:t xml:space="preserve">1. Executive Summary</w:t>
      </w:r>
    </w:p>
    <w:p>
      <w:pPr>
        <w:spacing w:after="120"/>
      </w:pPr>
      <w:r>
        <w:t xml:space="preserve">"Be the CRO" is a browser-based interactive game designed as an ice-breaker for the L&amp;G Group Risk away day. Players take the role of Chief Risk Officer at Steadfast Group, a lightly fictionalised insurance and asset management firm. Over five in-game years, they face a series of scenarios involving stakeholder pressure, market shocks, and operational crises. Their decisions accumulate into scores across multiple dimensions, producing a personalised narrative of their tenure and a set of outcome metrics.</w:t>
      </w:r>
    </w:p>
    <w:p>
      <w:pPr>
        <w:spacing w:after="120"/>
      </w:pPr>
      <w:r>
        <w:t xml:space="preserve">The game is deliberately non-branded, satirical in tone, and designed to be played on mobile phones during breaks. It should take 15–20 minutes to complete. A server-side leaderboard captures all results for prize-giving and aggregate analysis at the end of the day.</w:t>
      </w:r>
    </w:p>
    <w:p>
      <w:pPr>
        <w:spacing w:after="120"/>
      </w:pPr>
      <w:r>
        <w:rPr>
          <w:b/>
          <w:bCs/>
        </w:rPr>
        <w:t xml:space="preserve">Inspiration: </w:t>
      </w:r>
      <w:r>
        <w:t xml:space="preserve">inkle’s "80 Days" and Torpor Games’ "Suzerain" — narrative-driven games with consequential choices, atmospheric illustration, and a tone that balances seriousness with wit.</w:t>
      </w:r>
    </w:p>
    <w:p>
      <w:pPr>
        <w:spacing w:after="120"/>
      </w:pPr>
      <w:r>
        <w:rPr>
          <w:b/>
          <w:bCs/>
        </w:rPr>
        <w:t xml:space="preserve">Key design principle: </w:t>
      </w:r>
      <w:r>
        <w:t xml:space="preserve">There is no obviously "correct" answer to any scenario. Conservative play is penalised (slow death by irrelevance) as much as reckless play (insolvency). The best outcomes require nuanced judgment and a degree of luck — just like real risk management.</w:t>
      </w:r>
    </w:p>
    <w:p>
      <w:r>
        <w:br w:type="page"/>
      </w:r>
    </w:p>
    <w:p>
      <w:pPr>
        <w:pStyle w:val="Heading1"/>
      </w:pPr>
      <w:r>
        <w:t xml:space="preserve">2. The Fictional Firm: Steadfast Group</w:t>
      </w:r>
    </w:p>
    <w:p>
      <w:pPr>
        <w:spacing w:after="120"/>
      </w:pPr>
      <w:r>
        <w:t xml:space="preserve">Steadfast Group is a UK-based insurance and asset management company. It has three divisions:</w:t>
      </w:r>
    </w:p>
    <w:p>
      <w:pPr>
        <w:pStyle w:val="ListParagraph"/>
        <w:numPr>
          <w:ilvl w:val="0"/>
          <w:numId w:val="2"/>
        </w:numPr>
        <w:spacing w:after="60"/>
      </w:pPr>
      <w:r>
        <w:t xml:space="preserve">Steadfast Asset Management (SAM) — LDI, active management, private credit, infrastructure, property. The largest division by AUM but under pressure from passive managers and fee compression. The LDI book is the biggest single risk concentration. Legacy operating model with manual processes and spreadsheet-based reconciliations.</w:t>
      </w:r>
    </w:p>
    <w:p>
      <w:pPr>
        <w:pStyle w:val="ListParagraph"/>
        <w:numPr>
          <w:ilvl w:val="0"/>
          <w:numId w:val="2"/>
        </w:numPr>
        <w:spacing w:after="60"/>
      </w:pPr>
      <w:r>
        <w:t xml:space="preserve">Steadfast Institutional Retirement (SIR) — Bulk annuity buy-ins and buyouts of DB pension schemes. High-margin but competitive, with pressure from aggressive PE-backed competitors ("Rothman’s"). Revenue depends on winning deals at adequate margin.</w:t>
      </w:r>
    </w:p>
    <w:p>
      <w:pPr>
        <w:pStyle w:val="ListParagraph"/>
        <w:numPr>
          <w:ilvl w:val="0"/>
          <w:numId w:val="2"/>
        </w:numPr>
        <w:spacing w:after="60"/>
      </w:pPr>
      <w:r>
        <w:t xml:space="preserve">Steadfast Workplace (SW) — DC pension scheme administration. Lower-margin, relies on assets flowing back into SAM funds to earn management fees. The unit-linked fund platform sits here.</w:t>
      </w:r>
    </w:p>
    <w:p>
      <w:pPr>
        <w:spacing w:after="120"/>
      </w:pPr>
      <w:r>
        <w:rPr>
          <w:b/>
          <w:bCs/>
        </w:rPr>
        <w:t xml:space="preserve">Fictional competitors referenced in scenarios: </w:t>
      </w:r>
      <w:r>
        <w:t xml:space="preserve">Sphinx Insurance (aggressive back-book investor, higher-yielding strategy), Rothman’s (PE-backed bulk annuity competitor, sharp on pricing). Vanguard and BlackRock are referenced by real name as passive management competitors.</w:t>
      </w:r>
    </w:p>
    <w:p>
      <w:r>
        <w:br w:type="page"/>
      </w:r>
    </w:p>
    <w:p>
      <w:pPr>
        <w:pStyle w:val="Heading1"/>
      </w:pPr>
      <w:r>
        <w:t xml:space="preserve">3. Game Architecture</w:t>
      </w:r>
    </w:p>
    <w:p>
      <w:pPr>
        <w:pStyle w:val="Heading2"/>
      </w:pPr>
      <w:r>
        <w:t xml:space="preserve">3.1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6526"/>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rPr>
              <w:t xml:space="preserve">Technology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(Vite) on Vercel. Mobile-first, single-page application.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API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Express.js on Railway. Handles game session creation, decision logging, score calculation, leaderboard.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on Railway. Stores player sessions, decisions, scores, narratives.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 (frontend), Railway (API + DB)</w:t>
            </w:r>
          </w:p>
        </w:tc>
      </w:tr>
    </w:tbl>
    <w:p>
      <w:pPr>
        <w:spacing w:after="120"/>
      </w:pPr>
      <w:r>
        <w:t xml:space="preserve"/>
      </w:r>
    </w:p>
    <w:p>
      <w:pPr>
        <w:pStyle w:val="Heading2"/>
      </w:pPr>
      <w:r>
        <w:t xml:space="preserve">3.2 Core Game Loop</w:t>
      </w:r>
    </w:p>
    <w:p>
      <w:pPr>
        <w:pStyle w:val="ListParagraph"/>
        <w:numPr>
          <w:ilvl w:val="0"/>
          <w:numId w:val="3"/>
        </w:numPr>
        <w:spacing w:after="60"/>
      </w:pPr>
      <w:r>
        <w:t xml:space="preserve">Player enters their name (free text, no authentication)</w:t>
      </w:r>
    </w:p>
    <w:p>
      <w:pPr>
        <w:pStyle w:val="ListParagraph"/>
        <w:numPr>
          <w:ilvl w:val="0"/>
          <w:numId w:val="3"/>
        </w:numPr>
        <w:spacing w:after="60"/>
      </w:pPr>
      <w:r>
        <w:t xml:space="preserve">Player selects a risk appetite strategy (sets expectations for board confidence scoring)</w:t>
      </w:r>
    </w:p>
    <w:p>
      <w:pPr>
        <w:pStyle w:val="ListParagraph"/>
        <w:numPr>
          <w:ilvl w:val="0"/>
          <w:numId w:val="3"/>
        </w:numPr>
        <w:spacing w:after="60"/>
      </w:pPr>
      <w:r>
        <w:t xml:space="preserve">Game presents 10 scenarios across 5 in-game years (2 per year)</w:t>
      </w:r>
    </w:p>
    <w:p>
      <w:pPr>
        <w:pStyle w:val="ListParagraph"/>
        <w:numPr>
          <w:ilvl w:val="0"/>
          <w:numId w:val="3"/>
        </w:numPr>
        <w:spacing w:after="60"/>
      </w:pPr>
      <w:r>
        <w:t xml:space="preserve">Each scenario shows narrative text, an illustration, and 5 options</w:t>
      </w:r>
    </w:p>
    <w:p>
      <w:pPr>
        <w:pStyle w:val="ListParagraph"/>
        <w:numPr>
          <w:ilvl w:val="0"/>
          <w:numId w:val="3"/>
        </w:numPr>
        <w:spacing w:after="60"/>
      </w:pPr>
      <w:r>
        <w:t xml:space="preserve">Player selects an option; game logs the decision server-side and updates hidden scores</w:t>
      </w:r>
    </w:p>
    <w:p>
      <w:pPr>
        <w:pStyle w:val="ListParagraph"/>
        <w:numPr>
          <w:ilvl w:val="0"/>
          <w:numId w:val="3"/>
        </w:numPr>
        <w:spacing w:after="60"/>
      </w:pPr>
      <w:r>
        <w:t xml:space="preserve">After some scenarios, a random market outcome is rolled server-side and shown to the player</w:t>
      </w:r>
    </w:p>
    <w:p>
      <w:pPr>
        <w:pStyle w:val="ListParagraph"/>
        <w:numPr>
          <w:ilvl w:val="0"/>
          <w:numId w:val="3"/>
        </w:numPr>
        <w:spacing w:after="60"/>
      </w:pPr>
      <w:r>
        <w:t xml:space="preserve">After 10 decisions, the game presents an end-of-tenure report card</w:t>
      </w:r>
    </w:p>
    <w:p>
      <w:pPr>
        <w:pStyle w:val="ListParagraph"/>
        <w:numPr>
          <w:ilvl w:val="0"/>
          <w:numId w:val="3"/>
        </w:numPr>
        <w:spacing w:after="60"/>
      </w:pPr>
      <w:r>
        <w:t xml:space="preserve">Results are stored server-side for leaderboard and aggregate analysis</w:t>
      </w:r>
    </w:p>
    <w:p>
      <w:pPr>
        <w:pStyle w:val="Heading2"/>
      </w:pPr>
      <w:r>
        <w:t xml:space="preserve">3.3 Session Flow</w:t>
      </w:r>
    </w:p>
    <w:p>
      <w:pPr>
        <w:spacing w:after="120"/>
      </w:pPr>
      <w:r>
        <w:t xml:space="preserve">Each game session is created server-side when the player starts. The server generates the scenario sequence for that session (applying the ordering rules described in Section 5), rolls any per-scenario random parameters, and stores the full session plan. The frontend requests scenarios one at a time. When the player makes a choice, the frontend sends it to the API, which calculates score impacts, generates the narrative snippet, and returns any random outcome to display. This ensures all randomness and scoring is server-side and tamper-proof.</w:t>
      </w:r>
    </w:p>
    <w:p>
      <w:r>
        <w:br w:type="page"/>
      </w:r>
    </w:p>
    <w:p>
      <w:pPr>
        <w:pStyle w:val="Heading1"/>
      </w:pPr>
      <w:r>
        <w:t xml:space="preserve">4. Scoring System</w:t>
      </w:r>
    </w:p>
    <w:p>
      <w:pPr>
        <w:pStyle w:val="Heading2"/>
      </w:pPr>
      <w:r>
        <w:t xml:space="preserve">4.1 Score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rPr>
              <w:t xml:space="preserve">Dimension</w:t>
            </w:r>
          </w:p>
        </w:tc>
        <w:tc>
          <w:tcPr>
            <w:tcW w:type="dxa" w:w="15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rPr>
              <w:t xml:space="preserve">Starting Value</w:t>
            </w:r>
          </w:p>
        </w:tc>
        <w:tc>
          <w:tcPr>
            <w:tcW w:type="dxa" w:w="5526"/>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Solvency Ratio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firm’s regulatory capital ratio. Below 100% = insolvency. Below 120% = PRA intervention.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Cumulative P&amp;L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profit/loss over 5 years. Cautious play produces low but steady profits; aggressive play swings widely.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Regulatory Standing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Accumulates flags: green (clean) → amber (concerns raised) → red (enforcement). Each flag has a narrative.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Reputation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75/100</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and client perception. Affected by press events, client outcomes, and disclosure decisions.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Board Confidence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70/100</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board’s confidence in you personally. Below 30 = fired. Affected by consistency with stated strategy, profitability, and how you handle crises.</w:t>
            </w:r>
          </w:p>
        </w:tc>
      </w:tr>
    </w:tbl>
    <w:p>
      <w:pPr>
        <w:spacing w:after="120"/>
      </w:pPr>
      <w:r>
        <w:t xml:space="preserve"/>
      </w:r>
    </w:p>
    <w:p>
      <w:pPr>
        <w:pStyle w:val="Heading2"/>
      </w:pPr>
      <w:r>
        <w:t xml:space="preserve">4.2 Strategy Selection</w:t>
      </w:r>
    </w:p>
    <w:p>
      <w:pPr>
        <w:spacing w:after="120"/>
      </w:pPr>
      <w:r>
        <w:t xml:space="preserve">At the start of the game, the player selects a risk appetite posture. This does not directly affect scores but creates a "consistency modifier" for board confidence. If your decisions consistently contradict your stated strategy, board confidence erodes faster.</w:t>
      </w:r>
    </w:p>
    <w:p>
      <w:pPr>
        <w:pStyle w:val="ListParagraph"/>
        <w:numPr>
          <w:ilvl w:val="0"/>
          <w:numId w:val="4"/>
        </w:numPr>
        <w:spacing w:after="60"/>
      </w:pPr>
      <w:r>
        <w:t xml:space="preserve">"The Guardian" — Conservative. Prioritise solvency and regulatory standing above growth.</w:t>
      </w:r>
    </w:p>
    <w:p>
      <w:pPr>
        <w:pStyle w:val="ListParagraph"/>
        <w:numPr>
          <w:ilvl w:val="0"/>
          <w:numId w:val="4"/>
        </w:numPr>
        <w:spacing w:after="60"/>
      </w:pPr>
      <w:r>
        <w:t xml:space="preserve">"The Pragmatist" — Balanced. Case-by-case judgment, no strong prior commitment.</w:t>
      </w:r>
    </w:p>
    <w:p>
      <w:pPr>
        <w:pStyle w:val="ListParagraph"/>
        <w:numPr>
          <w:ilvl w:val="0"/>
          <w:numId w:val="4"/>
        </w:numPr>
        <w:spacing w:after="60"/>
      </w:pPr>
      <w:r>
        <w:t xml:space="preserve">"The Builder" — Growth-oriented. Willing to accept higher risk for franchise expansion.</w:t>
      </w:r>
    </w:p>
    <w:p>
      <w:pPr>
        <w:pStyle w:val="ListParagraph"/>
        <w:numPr>
          <w:ilvl w:val="0"/>
          <w:numId w:val="4"/>
        </w:numPr>
        <w:spacing w:after="60"/>
      </w:pPr>
      <w:r>
        <w:t xml:space="preserve">"The Disruptor" — Aggressive. The firm needs bold moves to survive in a competitive market.</w:t>
      </w:r>
    </w:p>
    <w:p>
      <w:pPr>
        <w:pStyle w:val="Heading2"/>
      </w:pPr>
      <w:r>
        <w:t xml:space="preserve">4.3 Target Outcome Distribution</w:t>
      </w:r>
    </w:p>
    <w:p>
      <w:pPr>
        <w:spacing w:after="120"/>
      </w:pPr>
      <w:r>
        <w:t xml:space="preserve">The scoring should be calibrated so that across all players at the away day, roughly:</w:t>
      </w:r>
    </w:p>
    <w:p>
      <w:pPr>
        <w:pStyle w:val="ListParagraph"/>
        <w:numPr>
          <w:ilvl w:val="0"/>
          <w:numId w:val="5"/>
        </w:numPr>
        <w:spacing w:after="60"/>
      </w:pPr>
      <w:r>
        <w:t xml:space="preserve">~10% go insolvent (requires consistently aggressive choices + bad luck on random outcomes)</w:t>
      </w:r>
    </w:p>
    <w:p>
      <w:pPr>
        <w:pStyle w:val="ListParagraph"/>
        <w:numPr>
          <w:ilvl w:val="0"/>
          <w:numId w:val="5"/>
        </w:numPr>
        <w:spacing w:after="60"/>
      </w:pPr>
      <w:r>
        <w:t xml:space="preserve">~15% get fired by the board (requires being too cautious, too inconsistent, or losing board confidence through crises)</w:t>
      </w:r>
    </w:p>
    <w:p>
      <w:pPr>
        <w:pStyle w:val="ListParagraph"/>
        <w:numPr>
          <w:ilvl w:val="0"/>
          <w:numId w:val="5"/>
        </w:numPr>
        <w:spacing w:after="60"/>
      </w:pPr>
      <w:r>
        <w:t xml:space="preserve">~50%+ receive at least one regulatory fine or enforcement action</w:t>
      </w:r>
    </w:p>
    <w:p>
      <w:pPr>
        <w:pStyle w:val="ListParagraph"/>
        <w:numPr>
          <w:ilvl w:val="0"/>
          <w:numId w:val="5"/>
        </w:numPr>
        <w:spacing w:after="60"/>
      </w:pPr>
      <w:r>
        <w:t xml:space="preserve">~60%+ generate at least one negative press story</w:t>
      </w:r>
    </w:p>
    <w:p>
      <w:pPr>
        <w:pStyle w:val="ListParagraph"/>
        <w:numPr>
          <w:ilvl w:val="0"/>
          <w:numId w:val="5"/>
        </w:numPr>
        <w:spacing w:after="60"/>
      </w:pPr>
      <w:r>
        <w:t xml:space="preserve">~10–15% thread the needle: good profitability, no insolvency, no regulatory action, still in post. These are the prize-winners.</w:t>
      </w:r>
    </w:p>
    <w:p>
      <w:pPr>
        <w:spacing w:after="120"/>
      </w:pPr>
      <w:r>
        <w:rPr>
          <w:b/>
          <w:bCs/>
        </w:rPr>
        <w:t xml:space="preserve">Critical design point: </w:t>
      </w:r>
      <w:r>
        <w:t xml:space="preserve">Ultra-cautious play should NOT produce the best outcomes. Players who always choose the most conservative option should end up with a solvent but slowly dying firm, shrinking AUM, and a board that eventually replaces them. The game should reward nuanced, context-dependent judgment.</w:t>
      </w:r>
    </w:p>
    <w:p>
      <w:pPr>
        <w:pStyle w:val="Heading2"/>
      </w:pPr>
      <w:r>
        <w:t xml:space="preserve">4.4 The Cost of Caution</w:t>
      </w:r>
    </w:p>
    <w:p>
      <w:pPr>
        <w:spacing w:after="120"/>
      </w:pPr>
      <w:r>
        <w:t xml:space="preserve">Every scenario’s most conservative option should carry an explicit or implicit cost:</w:t>
      </w:r>
    </w:p>
    <w:p>
      <w:pPr>
        <w:pStyle w:val="ListParagraph"/>
        <w:numPr>
          <w:ilvl w:val="0"/>
          <w:numId w:val="6"/>
        </w:numPr>
        <w:spacing w:after="60"/>
      </w:pPr>
      <w:r>
        <w:t xml:space="preserve">Blocking the yield grab → board frustration, CFO goes around you, profits lag peers</w:t>
      </w:r>
    </w:p>
    <w:p>
      <w:pPr>
        <w:pStyle w:val="ListParagraph"/>
        <w:numPr>
          <w:ilvl w:val="0"/>
          <w:numId w:val="6"/>
        </w:numPr>
        <w:spacing w:after="60"/>
      </w:pPr>
      <w:r>
        <w:t xml:space="preserve">Refusing to sharpen bulk annuity pricing → lost deals, pipeline dries up, Institutional Retirement team morale drops</w:t>
      </w:r>
    </w:p>
    <w:p>
      <w:pPr>
        <w:pStyle w:val="ListParagraph"/>
        <w:numPr>
          <w:ilvl w:val="0"/>
          <w:numId w:val="6"/>
        </w:numPr>
        <w:spacing w:after="60"/>
      </w:pPr>
      <w:r>
        <w:t xml:space="preserve">Blocking systems investment deferral (i.e. insisting on spending money) → short-term cost hit, CFO unhappy</w:t>
      </w:r>
    </w:p>
    <w:p>
      <w:pPr>
        <w:pStyle w:val="ListParagraph"/>
        <w:numPr>
          <w:ilvl w:val="0"/>
          <w:numId w:val="6"/>
        </w:numPr>
        <w:spacing w:after="60"/>
      </w:pPr>
      <w:r>
        <w:t xml:space="preserve">Always disclosing everything immediately → regulatory standing stays clean but the market/analysts penalise uncertainty, provisions hit profits</w:t>
      </w:r>
    </w:p>
    <w:p>
      <w:pPr>
        <w:pStyle w:val="ListParagraph"/>
        <w:numPr>
          <w:ilvl w:val="0"/>
          <w:numId w:val="6"/>
        </w:numPr>
        <w:spacing w:after="60"/>
      </w:pPr>
      <w:r>
        <w:t xml:space="preserve">Cancelling distributions / halting operations at first sign of trouble → client and consultant alarm, reputational cost</w:t>
      </w:r>
    </w:p>
    <w:p>
      <w:r>
        <w:br w:type="page"/>
      </w:r>
    </w:p>
    <w:p>
      <w:pPr>
        <w:pStyle w:val="Heading1"/>
      </w:pPr>
      <w:r>
        <w:t xml:space="preserve">5. Scenario Engine</w:t>
      </w:r>
    </w:p>
    <w:p>
      <w:pPr>
        <w:pStyle w:val="Heading2"/>
      </w:pPr>
      <w:r>
        <w:t xml:space="preserve">5.1 Scenario Structure</w:t>
      </w:r>
    </w:p>
    <w:p>
      <w:pPr>
        <w:spacing w:after="120"/>
      </w:pPr>
      <w:r>
        <w:t xml:space="preserve">Each scenario is a JSON object with the following structure:</w:t>
      </w:r>
    </w:p>
    <w:p>
      <w:pPr>
        <w:pStyle w:val="ListParagraph"/>
        <w:numPr>
          <w:ilvl w:val="0"/>
          <w:numId w:val="7"/>
        </w:numPr>
        <w:spacing w:after="60"/>
      </w:pPr>
      <w:r>
        <w:t xml:space="preserve">id: unique identifier</w:t>
      </w:r>
    </w:p>
    <w:p>
      <w:pPr>
        <w:pStyle w:val="ListParagraph"/>
        <w:numPr>
          <w:ilvl w:val="0"/>
          <w:numId w:val="7"/>
        </w:numPr>
        <w:spacing w:after="60"/>
      </w:pPr>
      <w:r>
        <w:t xml:space="preserve">title: short display title</w:t>
      </w:r>
    </w:p>
    <w:p>
      <w:pPr>
        <w:pStyle w:val="ListParagraph"/>
        <w:numPr>
          <w:ilvl w:val="0"/>
          <w:numId w:val="7"/>
        </w:numPr>
        <w:spacing w:after="60"/>
      </w:pPr>
      <w:r>
        <w:t xml:space="preserve">category: "stakeholder" | "market" | "operational" | "curveball"</w:t>
      </w:r>
    </w:p>
    <w:p>
      <w:pPr>
        <w:pStyle w:val="ListParagraph"/>
        <w:numPr>
          <w:ilvl w:val="0"/>
          <w:numId w:val="7"/>
        </w:numPr>
        <w:spacing w:after="60"/>
      </w:pPr>
      <w:r>
        <w:t xml:space="preserve">division: "SAM" | "SIR" | "SW" | "group" (which part of Steadfast is primarily affected)</w:t>
      </w:r>
    </w:p>
    <w:p>
      <w:pPr>
        <w:pStyle w:val="ListParagraph"/>
        <w:numPr>
          <w:ilvl w:val="0"/>
          <w:numId w:val="7"/>
        </w:numPr>
        <w:spacing w:after="60"/>
      </w:pPr>
      <w:r>
        <w:t xml:space="preserve">year_range: [min_year, max_year] — which game years this scenario can appear in</w:t>
      </w:r>
    </w:p>
    <w:p>
      <w:pPr>
        <w:pStyle w:val="ListParagraph"/>
        <w:numPr>
          <w:ilvl w:val="0"/>
          <w:numId w:val="7"/>
        </w:numPr>
        <w:spacing w:after="60"/>
      </w:pPr>
      <w:r>
        <w:t xml:space="preserve">is_tentpole: boolean — tentpole scenarios always appear</w:t>
      </w:r>
    </w:p>
    <w:p>
      <w:pPr>
        <w:pStyle w:val="ListParagraph"/>
        <w:numPr>
          <w:ilvl w:val="0"/>
          <w:numId w:val="7"/>
        </w:numPr>
        <w:spacing w:after="60"/>
      </w:pPr>
      <w:r>
        <w:t xml:space="preserve">illustration_key: reference to the art asset for this scenario</w:t>
      </w:r>
    </w:p>
    <w:p>
      <w:pPr>
        <w:pStyle w:val="ListParagraph"/>
        <w:numPr>
          <w:ilvl w:val="0"/>
          <w:numId w:val="7"/>
        </w:numPr>
        <w:spacing w:after="60"/>
      </w:pPr>
      <w:r>
        <w:t xml:space="preserve">setup_text: the narrative text shown to the player (may contain variables for random parameters)</w:t>
      </w:r>
    </w:p>
    <w:p>
      <w:pPr>
        <w:pStyle w:val="ListParagraph"/>
        <w:numPr>
          <w:ilvl w:val="0"/>
          <w:numId w:val="7"/>
        </w:numPr>
        <w:spacing w:after="60"/>
      </w:pPr>
      <w:r>
        <w:t xml:space="preserve">random_params: object defining any random elements (e.g. { gilt_move: { min: 50, max: 400, unit: "bps" } })</w:t>
      </w:r>
    </w:p>
    <w:p>
      <w:pPr>
        <w:pStyle w:val="ListParagraph"/>
        <w:numPr>
          <w:ilvl w:val="0"/>
          <w:numId w:val="7"/>
        </w:numPr>
        <w:spacing w:after="60"/>
      </w:pPr>
      <w:r>
        <w:t xml:space="preserve">options: array of 5 option objects, each with: label, description, consequences (object mapping score dimensions to impacts), narrative_snippet (text added to the player’s story), conditional_modifiers (how this choice changes the severity of future scenarios)</w:t>
      </w:r>
    </w:p>
    <w:p>
      <w:pPr>
        <w:pStyle w:val="ListParagraph"/>
        <w:numPr>
          <w:ilvl w:val="0"/>
          <w:numId w:val="7"/>
        </w:numPr>
        <w:spacing w:after="60"/>
      </w:pPr>
      <w:r>
        <w:t xml:space="preserve">preconditions: optional object specifying how prior decisions modify this scenario (e.g. if yield_grab_approved, increase exposure amounts in setup text and worsen consequence severity)</w:t>
      </w:r>
    </w:p>
    <w:p>
      <w:pPr>
        <w:pStyle w:val="Heading2"/>
      </w:pPr>
      <w:r>
        <w:t xml:space="preserve">5.2 Scenario Selection and Ordering</w:t>
      </w:r>
    </w:p>
    <w:p>
      <w:pPr>
        <w:spacing w:after="120"/>
      </w:pPr>
      <w:r>
        <w:t xml:space="preserve">Each playthrough presents 10 scenarios across 5 in-game years (2 per year). The selection algorithm:</w:t>
      </w:r>
    </w:p>
    <w:p>
      <w:pPr>
        <w:pStyle w:val="ListParagraph"/>
        <w:numPr>
          <w:ilvl w:val="0"/>
          <w:numId w:val="8"/>
        </w:numPr>
        <w:spacing w:after="60"/>
      </w:pPr>
      <w:r>
        <w:t xml:space="preserve">Always include all tentpole scenarios (currently 5: yield grab, CTO systems pitch, bulk annuity pricing, gilt market meltdown, regulator’s thematic review)</w:t>
      </w:r>
    </w:p>
    <w:p>
      <w:pPr>
        <w:pStyle w:val="ListParagraph"/>
        <w:numPr>
          <w:ilvl w:val="0"/>
          <w:numId w:val="8"/>
        </w:numPr>
        <w:spacing w:after="60"/>
      </w:pPr>
      <w:r>
        <w:t xml:space="preserve">Draw 5 additional scenarios from the pool, ensuring: no more than 2 from any single category, at least 1 from each of SAM/SIR/SW divisions, no two consecutive market shocks</w:t>
      </w:r>
    </w:p>
    <w:p>
      <w:pPr>
        <w:pStyle w:val="ListParagraph"/>
        <w:numPr>
          <w:ilvl w:val="0"/>
          <w:numId w:val="8"/>
        </w:numPr>
        <w:spacing w:after="60"/>
      </w:pPr>
      <w:r>
        <w:t xml:space="preserve">Assign scenarios to years respecting their year_range constraints</w:t>
      </w:r>
    </w:p>
    <w:p>
      <w:pPr>
        <w:pStyle w:val="ListParagraph"/>
        <w:numPr>
          <w:ilvl w:val="0"/>
          <w:numId w:val="8"/>
        </w:numPr>
        <w:spacing w:after="60"/>
      </w:pPr>
      <w:r>
        <w:t xml:space="preserve">Within each year, randomise the order of the two scenarios</w:t>
      </w:r>
    </w:p>
    <w:p>
      <w:pPr>
        <w:pStyle w:val="ListParagraph"/>
        <w:numPr>
          <w:ilvl w:val="0"/>
          <w:numId w:val="8"/>
        </w:numPr>
        <w:spacing w:after="60"/>
      </w:pPr>
      <w:r>
        <w:t xml:space="preserve">Apply any random parameter rolls for each scenario and store them in the session</w:t>
      </w:r>
    </w:p>
    <w:p>
      <w:pPr>
        <w:pStyle w:val="Heading2"/>
      </w:pPr>
      <w:r>
        <w:t xml:space="preserve">5.3 Random Elements</w:t>
      </w:r>
    </w:p>
    <w:p>
      <w:pPr>
        <w:spacing w:after="120"/>
      </w:pPr>
      <w:r>
        <w:t xml:space="preserve">Random outcomes are rolled server-side and stored with the session. They serve two purposes: creating genuine variance between playthroughs, and ensuring that identical decisions can produce different outcomes ("a lucky CRO looks like a good CRO"). Key random elements include:</w:t>
      </w:r>
    </w:p>
    <w:p>
      <w:pPr>
        <w:pStyle w:val="ListParagraph"/>
        <w:numPr>
          <w:ilvl w:val="0"/>
          <w:numId w:val="9"/>
        </w:numPr>
        <w:spacing w:after="60"/>
      </w:pPr>
      <w:r>
        <w:t xml:space="preserve">Gilt yield move in the meltdown scenario: drawn from a continuous distribution, e.g. uniform between +50bps and +400bps further move, with a separate 15% chance of Bank of England intervention (yields reverse by 100bps)</w:t>
      </w:r>
    </w:p>
    <w:p>
      <w:pPr>
        <w:pStyle w:val="ListParagraph"/>
        <w:numPr>
          <w:ilvl w:val="0"/>
          <w:numId w:val="9"/>
        </w:numPr>
        <w:spacing w:after="60"/>
      </w:pPr>
      <w:r>
        <w:t xml:space="preserve">Private credit write-down severity: uniform between 10% and 40%</w:t>
      </w:r>
    </w:p>
    <w:p>
      <w:pPr>
        <w:pStyle w:val="ListParagraph"/>
        <w:numPr>
          <w:ilvl w:val="0"/>
          <w:numId w:val="9"/>
        </w:numPr>
        <w:spacing w:after="60"/>
      </w:pPr>
      <w:r>
        <w:t xml:space="preserve">Cyber attack depth: random draw determining whether breach is contained, moderate, or catastrophic</w:t>
      </w:r>
    </w:p>
    <w:p>
      <w:pPr>
        <w:pStyle w:val="ListParagraph"/>
        <w:numPr>
          <w:ilvl w:val="0"/>
          <w:numId w:val="9"/>
        </w:numPr>
        <w:spacing w:after="60"/>
      </w:pPr>
      <w:r>
        <w:t xml:space="preserve">Manual override success in calculation error: 70% chance of success, 30% chance of introducing a second error</w:t>
      </w:r>
    </w:p>
    <w:p>
      <w:pPr>
        <w:pStyle w:val="ListParagraph"/>
        <w:numPr>
          <w:ilvl w:val="0"/>
          <w:numId w:val="9"/>
        </w:numPr>
        <w:spacing w:after="60"/>
      </w:pPr>
      <w:r>
        <w:t xml:space="preserve">Second reconciliation error: always occurs if the scenario reaches round 3</w:t>
      </w:r>
    </w:p>
    <w:p>
      <w:pPr>
        <w:pStyle w:val="ListParagraph"/>
        <w:numPr>
          <w:ilvl w:val="0"/>
          <w:numId w:val="9"/>
        </w:numPr>
        <w:spacing w:after="60"/>
      </w:pPr>
      <w:r>
        <w:t xml:space="preserve">Sphinx Insurance’s reported outperformance in the yield grab scenario: varies between 60bps and 120bps to change pressure level</w:t>
      </w:r>
    </w:p>
    <w:p>
      <w:pPr>
        <w:pStyle w:val="ListParagraph"/>
        <w:numPr>
          <w:ilvl w:val="0"/>
          <w:numId w:val="9"/>
        </w:numPr>
        <w:spacing w:after="60"/>
      </w:pPr>
      <w:r>
        <w:t xml:space="preserve">Press pickup probability on various scandals: varies per scenario</w:t>
      </w:r>
    </w:p>
    <w:p>
      <w:pPr>
        <w:pStyle w:val="Heading2"/>
      </w:pPr>
      <w:r>
        <w:t xml:space="preserve">5.4 Compounding Logic</w:t>
      </w:r>
    </w:p>
    <w:p>
      <w:pPr>
        <w:spacing w:after="120"/>
      </w:pPr>
      <w:r>
        <w:t xml:space="preserve">Decisions in earlier scenarios modify the severity and available options in later scenarios. The key compounding arcs:</w:t>
      </w:r>
    </w:p>
    <w:p>
      <w:pPr>
        <w:pStyle w:val="ListParagraph"/>
        <w:numPr>
          <w:ilvl w:val="0"/>
          <w:numId w:val="10"/>
        </w:numPr>
        <w:spacing w:after="60"/>
      </w:pPr>
      <w:r>
        <w:t xml:space="preserve">Yield grab → Private credit crunch: if high-yield allocation was approved, exposure is much larger and losses are amplified</w:t>
      </w:r>
    </w:p>
    <w:p>
      <w:pPr>
        <w:pStyle w:val="ListParagraph"/>
        <w:numPr>
          <w:ilvl w:val="0"/>
          <w:numId w:val="10"/>
        </w:numPr>
        <w:spacing w:after="60"/>
      </w:pPr>
      <w:r>
        <w:t xml:space="preserve">Yield grab → Gilt meltdown: if gilt leverage was increased (option 5), the LDI crisis is existential rather than painful</w:t>
      </w:r>
    </w:p>
    <w:p>
      <w:pPr>
        <w:pStyle w:val="ListParagraph"/>
        <w:numPr>
          <w:ilvl w:val="0"/>
          <w:numId w:val="10"/>
        </w:numPr>
        <w:spacing w:after="60"/>
      </w:pPr>
      <w:r>
        <w:t xml:space="preserve">CTO systems investment → Gilt meltdown: if systems investment was funded, LDI desk has better real-time visibility and options 2–4 work more reliably; if deferred, manual processes increase error probability</w:t>
      </w:r>
    </w:p>
    <w:p>
      <w:pPr>
        <w:pStyle w:val="ListParagraph"/>
        <w:numPr>
          <w:ilvl w:val="0"/>
          <w:numId w:val="10"/>
        </w:numPr>
        <w:spacing w:after="60"/>
      </w:pPr>
      <w:r>
        <w:t xml:space="preserve">CTO systems investment → Calculation error: if systems were upgraded, the error is caught earlier and the scope is smaller</w:t>
      </w:r>
    </w:p>
    <w:p>
      <w:pPr>
        <w:pStyle w:val="ListParagraph"/>
        <w:numPr>
          <w:ilvl w:val="0"/>
          <w:numId w:val="10"/>
        </w:numPr>
        <w:spacing w:after="60"/>
      </w:pPr>
      <w:r>
        <w:t xml:space="preserve">Internal ratings team expansion → Private credit crunch: if team was expanded, they flag problems early and losses are reduced</w:t>
      </w:r>
    </w:p>
    <w:p>
      <w:pPr>
        <w:pStyle w:val="ListParagraph"/>
        <w:numPr>
          <w:ilvl w:val="0"/>
          <w:numId w:val="10"/>
        </w:numPr>
        <w:spacing w:after="60"/>
      </w:pPr>
      <w:r>
        <w:t xml:space="preserve">Bulk annuity pricing → Solvency ratio: aggressive pricing on a large deal directly reduces the solvency buffer available for later shocks</w:t>
      </w:r>
    </w:p>
    <w:p>
      <w:pPr>
        <w:pStyle w:val="ListParagraph"/>
        <w:numPr>
          <w:ilvl w:val="0"/>
          <w:numId w:val="10"/>
        </w:numPr>
        <w:spacing w:after="60"/>
      </w:pPr>
      <w:r>
        <w:t xml:space="preserve">Any conservative choice → Board confidence: each blocked initiative or cautious call slightly reduces board confidence, cumulative effect can trigger the "fired" ending</w:t>
      </w:r>
    </w:p>
    <w:p>
      <w:pPr>
        <w:pStyle w:val="ListParagraph"/>
        <w:numPr>
          <w:ilvl w:val="0"/>
          <w:numId w:val="10"/>
        </w:numPr>
        <w:spacing w:after="60"/>
      </w:pPr>
      <w:r>
        <w:t xml:space="preserve">Calculation error round 1 → rounds 2 and 3: the disclosure strategy chosen in round 1 constrains options and regulatory treatment in later rounds</w:t>
      </w:r>
    </w:p>
    <w:p>
      <w:r>
        <w:br w:type="page"/>
      </w:r>
    </w:p>
    <w:p>
      <w:pPr>
        <w:pStyle w:val="Heading1"/>
      </w:pPr>
      <w:r>
        <w:t xml:space="preserve">6. Scenario Specifications</w:t>
      </w:r>
    </w:p>
    <w:p>
      <w:pPr>
        <w:spacing w:after="120"/>
      </w:pPr>
      <w:r>
        <w:t xml:space="preserve">This section contains fully worked specifications for the three core scenarios that establish the design pattern. Remaining scenarios should follow this template. Additional scenarios can be drafted and refined during the build phase.</w:t>
      </w:r>
    </w:p>
    <w:p>
      <w:pPr>
        <w:pStyle w:val="Heading2"/>
      </w:pPr>
      <w:r>
        <w:t xml:space="preserve">6.1 The Yield Grab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Category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Stakeholder pressure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Division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 (Asset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Tentpole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always appears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Year range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Year 1–2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Random params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sphinx_outperformance: uniform 60–120bps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Illustration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CFO in boardroom with slides showing upward yield chart; Belgian Head of Internal Ratings in background with sardonic expression</w:t>
            </w:r>
          </w:p>
        </w:tc>
      </w:tr>
    </w:tbl>
    <w:p>
      <w:pPr>
        <w:spacing w:after="120"/>
      </w:pPr>
      <w:r>
        <w:t xml:space="preserve"/>
      </w:r>
    </w:p>
    <w:p>
      <w:pPr>
        <w:spacing w:after="120"/>
      </w:pPr>
      <w:r>
        <w:rPr>
          <w:b/>
          <w:bCs/>
        </w:rPr>
        <w:t xml:space="preserve">Setup text: </w:t>
      </w:r>
      <w:r>
        <w:rPr>
          <w:i/>
          <w:iCs/>
        </w:rPr>
        <w:t xml:space="preserve">"The CFO has called an unscheduled meeting. He’s brought slides. This is never good. ‘Sphinx Insurance,’ he begins, tapping a chart showing their back-book returns, ‘are getting {sphinx_outperformance}bps more than us on comparable liabilities. {sphinx_outperformance}.’ He lets this hang in the air. ‘The board is asking what we’re doing differently. The answer, apparently, is being conservative.’ He turns to you. ‘I’m not asking us to do anything crazy. I’m asking whether our risk appetite is still fit for purpose.’ The Head of Internal Ratings catches your eye from across the table. She is doing the thing with her eyebrows."</w:t>
      </w:r>
    </w:p>
    <w:p>
      <w:pPr>
        <w:spacing w:after="120"/>
      </w:pPr>
      <w:r>
        <w:rPr>
          <w:b/>
          <w:bCs/>
        </w:rPr>
        <w:t xml:space="preserve">Context: </w:t>
      </w:r>
      <w:r>
        <w:t xml:space="preserve">The annuity back-book is currently invested in IG credit and carefully selected IG private credit, structured for Matching Adjustment benefit. Solid, well-matched, boring. The CFO’s point isn’t wrong — Sphinx genuinely are reporting better numbers. The question is whether they’re being rewarded for skill or harvesting risk premia that haven’t blown up yet.</w:t>
      </w:r>
    </w:p>
    <w:p>
      <w:pPr>
        <w:spacing w:after="120"/>
      </w:pPr>
      <w:r>
        <w:t xml:space="preserve"/>
      </w:r>
    </w:p>
    <w:p>
      <w:pPr>
        <w:spacing w:after="120"/>
      </w:pPr>
      <w:r>
        <w:rPr>
          <w:b/>
          <w:bCs/>
        </w:rPr>
        <w:t xml:space="preserve">Option 1: "Hold the line — our risk appetite is correct"</w:t>
      </w:r>
    </w:p>
    <w:p>
      <w:pPr>
        <w:spacing w:after="120"/>
      </w:pPr>
      <w:r>
        <w:t xml:space="preserve">Tell the CFO the current allocation is deliberate and board-approved. Sphinx can explain their returns to the PRA when the cycle turns.</w:t>
      </w:r>
    </w:p>
    <w:p>
      <w:pPr>
        <w:pStyle w:val="ListParagraph"/>
        <w:numPr>
          <w:ilvl w:val="0"/>
          <w:numId w:val="11"/>
        </w:numPr>
        <w:spacing w:after="60"/>
      </w:pPr>
      <w:r>
        <w:t xml:space="preserve">Solvency: no change. P&amp;L: steady but unspectacular. Board confidence: -5 (seen as ‘department of no’). Regulatory: no change. Reputation: no change.</w:t>
      </w:r>
    </w:p>
    <w:p>
      <w:pPr>
        <w:pStyle w:val="ListParagraph"/>
        <w:numPr>
          <w:ilvl w:val="0"/>
          <w:numId w:val="11"/>
        </w:numPr>
        <w:spacing w:after="60"/>
      </w:pPr>
      <w:r>
        <w:t xml:space="preserve">Narrative: "You held the line on asset quality. The CFO started going around you to the CEO. The Head of Internal Ratings bought you a coffee, which from her is essentially a marriage proposal."</w:t>
      </w:r>
    </w:p>
    <w:p>
      <w:pPr>
        <w:pStyle w:val="ListParagraph"/>
        <w:numPr>
          <w:ilvl w:val="0"/>
          <w:numId w:val="11"/>
        </w:numPr>
        <w:spacing w:after="60"/>
      </w:pPr>
      <w:r>
        <w:t xml:space="preserve">Compounding: CFO frustration increases pressure in CEO growth targets scenario if it appears. If private credit crunch hits later, you look prescient and board confidence recovers +10.</w:t>
      </w:r>
    </w:p>
    <w:p>
      <w:pPr>
        <w:spacing w:after="120"/>
      </w:pPr>
      <w:r>
        <w:t xml:space="preserve"/>
      </w:r>
    </w:p>
    <w:p>
      <w:pPr>
        <w:spacing w:after="120"/>
      </w:pPr>
      <w:r>
        <w:rPr>
          <w:b/>
          <w:bCs/>
        </w:rPr>
        <w:t xml:space="preserve">Option 2: "Expand private credit — but only what we can rate internally"</w:t>
      </w:r>
    </w:p>
    <w:p>
      <w:pPr>
        <w:spacing w:after="120"/>
      </w:pPr>
      <w:r>
        <w:t xml:space="preserve">Agree to increase yield through infrastructure debt and carefully selected private assets that the internal ratings team can properly assess. Captures ~25–30bps.</w:t>
      </w:r>
    </w:p>
    <w:p>
      <w:pPr>
        <w:pStyle w:val="ListParagraph"/>
        <w:numPr>
          <w:ilvl w:val="0"/>
          <w:numId w:val="12"/>
        </w:numPr>
        <w:spacing w:after="60"/>
      </w:pPr>
      <w:r>
        <w:t xml:space="preserve">Solvency: no change short-term. P&amp;L: +modest. Board confidence: +3 (seen as constructive). Regulatory: no change.</w:t>
      </w:r>
    </w:p>
    <w:p>
      <w:pPr>
        <w:pStyle w:val="ListParagraph"/>
        <w:numPr>
          <w:ilvl w:val="0"/>
          <w:numId w:val="12"/>
        </w:numPr>
        <w:spacing w:after="60"/>
      </w:pPr>
      <w:r>
        <w:t xml:space="preserve">Narrative: "You approved a measured expansion into private credit, anchored by the internal ratings team. The CFO got some of what he wanted. Your Head of Internal Ratings muttered that the infrastructure debt was fine but she had concerns about two of the real estate positions. She was, annoyingly, correct."</w:t>
      </w:r>
    </w:p>
    <w:p>
      <w:pPr>
        <w:pStyle w:val="ListParagraph"/>
        <w:numPr>
          <w:ilvl w:val="0"/>
          <w:numId w:val="12"/>
        </w:numPr>
        <w:spacing w:after="60"/>
      </w:pPr>
      <w:r>
        <w:t xml:space="preserve">Compounding: moderate exposure if private credit crunch hits. Internally-rated assets hold up better but get marked down in a severe event. Internal ratings team expansion scenario gains extra justification.</w:t>
      </w:r>
    </w:p>
    <w:p>
      <w:pPr>
        <w:spacing w:after="120"/>
      </w:pPr>
      <w:r>
        <w:t xml:space="preserve"/>
      </w:r>
    </w:p>
    <w:p>
      <w:pPr>
        <w:spacing w:after="120"/>
      </w:pPr>
      <w:r>
        <w:rPr>
          <w:b/>
          <w:bCs/>
        </w:rPr>
        <w:t xml:space="preserve">Option 3: "Go bigger — increase high yield and lower-rated private credit"</w:t>
      </w:r>
    </w:p>
    <w:p>
      <w:pPr>
        <w:spacing w:after="120"/>
      </w:pPr>
      <w:r>
        <w:t xml:space="preserve">Approve a 15% shift from IG into HY credit and BB-rated private assets. Yield pickup of 60–70bps. MA benefit on some assets is questionable.</w:t>
      </w:r>
    </w:p>
    <w:p>
      <w:pPr>
        <w:pStyle w:val="ListParagraph"/>
        <w:numPr>
          <w:ilvl w:val="0"/>
          <w:numId w:val="13"/>
        </w:numPr>
        <w:spacing w:after="60"/>
      </w:pPr>
      <w:r>
        <w:t xml:space="preserve">Solvency: no immediate change but risk profile materially worse. P&amp;L: +significant short-term. Board confidence: +5. Regulatory: amber flag if PRA reviews MA eligibility.</w:t>
      </w:r>
    </w:p>
    <w:p>
      <w:pPr>
        <w:pStyle w:val="ListParagraph"/>
        <w:numPr>
          <w:ilvl w:val="0"/>
          <w:numId w:val="13"/>
        </w:numPr>
        <w:spacing w:after="60"/>
      </w:pPr>
      <w:r>
        <w:t xml:space="preserve">Narrative: "You approved a significant shift into higher-yielding assets. Short-term profits jumped. The CEO mentioned you positively at investor day. The Head of Internal Ratings wrote you a formal memo of concern, which she filed with exquisite care."</w:t>
      </w:r>
    </w:p>
    <w:p>
      <w:pPr>
        <w:pStyle w:val="ListParagraph"/>
        <w:numPr>
          <w:ilvl w:val="0"/>
          <w:numId w:val="13"/>
        </w:numPr>
        <w:spacing w:after="60"/>
      </w:pPr>
      <w:r>
        <w:t xml:space="preserve">Compounding: large exposure if private credit crunch hits. Potential MA disallowance amplifies solvency impact. The formal memo becomes evidence in any later regulatory review.</w:t>
      </w:r>
    </w:p>
    <w:p>
      <w:pPr>
        <w:spacing w:after="120"/>
      </w:pPr>
      <w:r>
        <w:t xml:space="preserve"/>
      </w:r>
    </w:p>
    <w:p>
      <w:pPr>
        <w:spacing w:after="120"/>
      </w:pPr>
      <w:r>
        <w:rPr>
          <w:b/>
          <w:bCs/>
        </w:rPr>
        <w:t xml:space="preserve">Option 4: "Widen the fund manager’s trading limits"</w:t>
      </w:r>
    </w:p>
    <w:p>
      <w:pPr>
        <w:spacing w:after="120"/>
      </w:pPr>
      <w:r>
        <w:t xml:space="preserve">Rather than changing strategic allocation, double the tracking error budget for the portfolio manager. Alternatively, the CFO has a contact — an ex-Goldman credit trader. Sub-choice: keep existing manager or hire the Goldman trader.</w:t>
      </w:r>
    </w:p>
    <w:p>
      <w:pPr>
        <w:pStyle w:val="ListParagraph"/>
        <w:numPr>
          <w:ilvl w:val="0"/>
          <w:numId w:val="14"/>
        </w:numPr>
        <w:spacing w:after="60"/>
      </w:pPr>
      <w:r>
        <w:t xml:space="preserve">With existing manager: P&amp;L: +15–20bps. Risk is amplified drawdowns in fast-moving markets. Manager is cautious by nature. If gilt crisis or credit crunch hits during a big active position, losses are amplified.</w:t>
      </w:r>
    </w:p>
    <w:p>
      <w:pPr>
        <w:pStyle w:val="ListParagraph"/>
        <w:numPr>
          <w:ilvl w:val="0"/>
          <w:numId w:val="14"/>
        </w:numPr>
        <w:spacing w:after="60"/>
      </w:pPr>
      <w:r>
        <w:t xml:space="preserve">With Goldman trader: Year 1 is spectacular (+40bps). Year 2, he’s pushing for wider limits and calling risk ‘speed bumps.’ When market turns, concentrated position produces sudden large loss. He blames risk team. FT journalist scenario becomes about this.</w:t>
      </w:r>
    </w:p>
    <w:p>
      <w:pPr>
        <w:pStyle w:val="ListParagraph"/>
        <w:numPr>
          <w:ilvl w:val="0"/>
          <w:numId w:val="14"/>
        </w:numPr>
        <w:spacing w:after="60"/>
      </w:pPr>
      <w:r>
        <w:t xml:space="preserve">Compounding: Goldman trader path creates reputational and regulatory exposure. Existing manager path is moderate additional risk.</w:t>
      </w:r>
    </w:p>
    <w:p>
      <w:pPr>
        <w:spacing w:after="120"/>
      </w:pPr>
      <w:r>
        <w:t xml:space="preserve"/>
      </w:r>
    </w:p>
    <w:p>
      <w:pPr>
        <w:spacing w:after="120"/>
      </w:pPr>
      <w:r>
        <w:rPr>
          <w:b/>
          <w:bCs/>
        </w:rPr>
        <w:t xml:space="preserve">Option 5: "Approve everything and leverage up gilts too"</w:t>
      </w:r>
    </w:p>
    <w:p>
      <w:pPr>
        <w:spacing w:after="120"/>
      </w:pPr>
      <w:r>
        <w:t xml:space="preserve">Approve HY shift, widen trading limits, AND leverage the gilt portfolio. All in. The CFO looks slightly alarmed, which is a first.</w:t>
      </w:r>
    </w:p>
    <w:p>
      <w:pPr>
        <w:pStyle w:val="ListParagraph"/>
        <w:numPr>
          <w:ilvl w:val="0"/>
          <w:numId w:val="15"/>
        </w:numPr>
        <w:spacing w:after="60"/>
      </w:pPr>
      <w:r>
        <w:t xml:space="preserve">Solvency: materially reduced buffer. P&amp;L: impressive short-term. Board confidence: +8 initially. Regulatory: amber.</w:t>
      </w:r>
    </w:p>
    <w:p>
      <w:pPr>
        <w:pStyle w:val="ListParagraph"/>
        <w:numPr>
          <w:ilvl w:val="0"/>
          <w:numId w:val="15"/>
        </w:numPr>
        <w:spacing w:after="60"/>
      </w:pPr>
      <w:r>
        <w:t xml:space="preserve">Narrative: "You went all in. Returns in the first year were genuinely impressive. The board thought you’d found free money. The Head of Internal Ratings stopped sending memos. She updated her CV."</w:t>
      </w:r>
    </w:p>
    <w:p>
      <w:pPr>
        <w:pStyle w:val="ListParagraph"/>
        <w:numPr>
          <w:ilvl w:val="0"/>
          <w:numId w:val="15"/>
        </w:numPr>
        <w:spacing w:after="60"/>
      </w:pPr>
      <w:r>
        <w:t xml:space="preserve">Compounding: ANY subsequent market scenario hits with multiplied force. Gilt leverage makes LDI crisis existential. Credit risk makes private credit crunch devastating. This is one of the primary paths to insolvency.</w:t>
      </w:r>
    </w:p>
    <w:p>
      <w:r>
        <w:br w:type="page"/>
      </w:r>
    </w:p>
    <w:p>
      <w:pPr>
        <w:pStyle w:val="Heading2"/>
      </w:pPr>
      <w:r>
        <w:t xml:space="preserve">6.2 The Gilt Market Meltdown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Category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 shock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Division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 (LDI book)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Tentpole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always appears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Year range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Year 3–4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Random params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further_gilt_move: continuous, +50bps to +400bps; boe_intervention: 15% probability (reverses yields by 100bps)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Illustration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Chaotic trading floor scene, multiple phones ringing, screens showing red charts, stressed traders. Comedy editorial cartoon style.</w:t>
            </w:r>
          </w:p>
        </w:tc>
      </w:tr>
    </w:tbl>
    <w:p>
      <w:pPr>
        <w:spacing w:after="120"/>
      </w:pPr>
      <w:r>
        <w:t xml:space="preserve"/>
      </w:r>
    </w:p>
    <w:p>
      <w:pPr>
        <w:spacing w:after="120"/>
      </w:pPr>
      <w:r>
        <w:rPr>
          <w:b/>
          <w:bCs/>
        </w:rPr>
        <w:t xml:space="preserve">Setup text: </w:t>
      </w:r>
      <w:r>
        <w:rPr>
          <w:i/>
          <w:iCs/>
        </w:rPr>
        <w:t xml:space="preserve">"Breaking news: The Chancellor has addressed a packed House of Commons with a bold new fiscal strategy. ‘We borrow a truly enormous amount of money,’ she explains to stunned MPs. ‘The only thing I ask is that nobody mentions it.’ She gestures towards the press gallery, which is already live-tweeting. She then sits down and appears to briefly lose motor function. Gilt yields, already elevated after months of Middle Eastern tensions, spike 200bps in three days. Your LDI funds entered this with 250bps of headroom. They now have 50bps. Your phone is ringing. It is all of the phones, actually."</w:t>
      </w:r>
    </w:p>
    <w:p>
      <w:pPr>
        <w:spacing w:after="120"/>
      </w:pPr>
      <w:r>
        <w:t xml:space="preserve"/>
      </w:r>
    </w:p>
    <w:p>
      <w:pPr>
        <w:spacing w:after="120"/>
      </w:pPr>
      <w:r>
        <w:rPr>
          <w:b/>
          <w:bCs/>
        </w:rPr>
        <w:t xml:space="preserve">Option 1: "Close out immediately at 50bps headroom"</w:t>
      </w:r>
    </w:p>
    <w:p>
      <w:pPr>
        <w:spacing w:after="120"/>
      </w:pPr>
      <w:r>
        <w:t xml:space="preserve">Enforce collateral agreements to the letter. Clients who haven’t posted get closed out. Contractually clean but crystallises losses at potentially the worst moment.</w:t>
      </w:r>
    </w:p>
    <w:p>
      <w:pPr>
        <w:pStyle w:val="ListParagraph"/>
        <w:numPr>
          <w:ilvl w:val="0"/>
          <w:numId w:val="16"/>
        </w:numPr>
        <w:spacing w:after="60"/>
      </w:pPr>
      <w:r>
        <w:t xml:space="preserve">Firm solvency: protected. Client losses: crystallised. Reputation: ‘the manager who pulled the plug.’ SIR pipeline dries up. Board confidence: solid short-term but CEO questions franchise cost.</w:t>
      </w:r>
    </w:p>
    <w:p>
      <w:pPr>
        <w:pStyle w:val="ListParagraph"/>
        <w:numPr>
          <w:ilvl w:val="0"/>
          <w:numId w:val="16"/>
        </w:numPr>
        <w:spacing w:after="60"/>
      </w:pPr>
      <w:r>
        <w:t xml:space="preserve">Outcome does NOT depend on the random gilt move — you’ve already closed positions.</w:t>
      </w:r>
    </w:p>
    <w:p>
      <w:pPr>
        <w:spacing w:after="120"/>
      </w:pPr>
      <w:r>
        <w:t xml:space="preserve"/>
      </w:r>
    </w:p>
    <w:p>
      <w:pPr>
        <w:spacing w:after="120"/>
      </w:pPr>
      <w:r>
        <w:rPr>
          <w:b/>
          <w:bCs/>
        </w:rPr>
        <w:t xml:space="preserve">Option 2: "Set a hard floor at 25bps — carry clients to there, then close"</w:t>
      </w:r>
    </w:p>
    <w:p>
      <w:pPr>
        <w:spacing w:after="120"/>
      </w:pPr>
      <w:r>
        <w:t xml:space="preserve">Extra time for clients with a defined stop-loss. Pragmatic middle ground.</w:t>
      </w:r>
    </w:p>
    <w:p>
      <w:pPr>
        <w:spacing w:after="120"/>
      </w:pPr>
      <w:r>
        <w:t xml:space="preserve">Outcome depends on random gilt move: if move is modest and/or BoE intervenes, most clients post in time. If move is severe, some clients closed at 25bps — painful but not catastrophic.</w:t>
      </w:r>
    </w:p>
    <w:p>
      <w:pPr>
        <w:spacing w:after="120"/>
      </w:pPr>
      <w:r>
        <w:t xml:space="preserve"/>
      </w:r>
    </w:p>
    <w:p>
      <w:pPr>
        <w:spacing w:after="120"/>
      </w:pPr>
      <w:r>
        <w:rPr>
          <w:b/>
          <w:bCs/>
        </w:rPr>
        <w:t xml:space="preserve">Option 3: "Carry everyone — we ride this out"</w:t>
      </w:r>
    </w:p>
    <w:p>
      <w:pPr>
        <w:spacing w:after="120"/>
      </w:pPr>
      <w:r>
        <w:t xml:space="preserve">Fund all client positions from the firm’s balance sheet. Betting on mean reversion or BoE intervention.</w:t>
      </w:r>
    </w:p>
    <w:p>
      <w:pPr>
        <w:spacing w:after="120"/>
      </w:pPr>
      <w:r>
        <w:t xml:space="preserve">Outcome heavily dependent on random gilt move. BoE intervention = hero. Severe further move = potentially enormous balance sheet hole. The size of the hole is a function of (further_gilt_move × leverage × AUM). If player previously chose yield grab option 5 (gilt leverage), this can be firm-ending.</w:t>
      </w:r>
    </w:p>
    <w:p>
      <w:pPr>
        <w:spacing w:after="120"/>
      </w:pPr>
      <w:r>
        <w:t xml:space="preserve"/>
      </w:r>
    </w:p>
    <w:p>
      <w:pPr>
        <w:spacing w:after="120"/>
      </w:pPr>
      <w:r>
        <w:rPr>
          <w:b/>
          <w:bCs/>
        </w:rPr>
        <w:t xml:space="preserve">Option 4: "Carry to 25bps publicly, but quietly reduce worst exposures"</w:t>
      </w:r>
    </w:p>
    <w:p>
      <w:pPr>
        <w:spacing w:after="120"/>
      </w:pPr>
      <w:r>
        <w:t xml:space="preserve">Shrewd but risky. Execution risk in thin markets. Reputational risk if clients discover selective position reduction.</w:t>
      </w:r>
    </w:p>
    <w:p>
      <w:pPr>
        <w:spacing w:after="120"/>
      </w:pPr>
      <w:r>
        <w:t xml:space="preserve">Random element: 25% chance a client adviser notices and it leaks. If systems were upgraded (CTO scenario), execution is cleaner and leak probability drops to 10%.</w:t>
      </w:r>
    </w:p>
    <w:p>
      <w:pPr>
        <w:spacing w:after="120"/>
      </w:pPr>
      <w:r>
        <w:t xml:space="preserve"/>
      </w:r>
    </w:p>
    <w:p>
      <w:pPr>
        <w:spacing w:after="120"/>
      </w:pPr>
      <w:r>
        <w:rPr>
          <w:b/>
          <w:bCs/>
        </w:rPr>
        <w:t xml:space="preserve">Option 5: "Fund everyone AND offer to take on mandates from other managers who are closing clients"</w:t>
      </w:r>
    </w:p>
    <w:p>
      <w:pPr>
        <w:spacing w:after="120"/>
      </w:pPr>
      <w:r>
        <w:t xml:space="preserve">The aggressive play. Use the crisis as a growth opportunity.</w:t>
      </w:r>
    </w:p>
    <w:p>
      <w:pPr>
        <w:spacing w:after="120"/>
      </w:pPr>
      <w:r>
        <w:t xml:space="preserve">If BoE intervenes: spectacular. AUM up 30%, reputation unassailable, market share gained for a decade. If BoE doesn’t intervene and gilt move is severe: doubled down on a losing position, potentially firm-ending. This is the highest-variance option in the entire game.</w:t>
      </w:r>
    </w:p>
    <w:p>
      <w:r>
        <w:br w:type="page"/>
      </w:r>
    </w:p>
    <w:p>
      <w:pPr>
        <w:pStyle w:val="Heading2"/>
      </w:pPr>
      <w:r>
        <w:t xml:space="preserve">6.3 The Four Percent Problem (3-Round Arc)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Category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Operational / curveball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Division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 (Workplace / Retail)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Tentpole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Round 1 always appears. Rounds 2 and 3 appear as conditional follow-ups in subsequent years.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Year range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1: Year 2–3. Round 2: 1 year after Round 1. Round 3: 1 year after Round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Random params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manual_override_success: 70% success / 30% second error; total_misallocation: £8m–£30m; policies_affected: 40,000–150,000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Illustration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1: Stressed ops team around a screen showing a spreadsheet with a cell highlighted in red, the number "4.00%" glowing ominously. Round 2: Stack of letters being printed. Round 3: Head of Ops with head in hands.</w:t>
            </w:r>
          </w:p>
        </w:tc>
      </w:tr>
    </w:tbl>
    <w:p>
      <w:pPr>
        <w:spacing w:after="120"/>
      </w:pPr>
      <w:r>
        <w:t xml:space="preserve"/>
      </w:r>
    </w:p>
    <w:p>
      <w:pPr>
        <w:spacing w:after="120"/>
      </w:pPr>
      <w:r>
        <w:rPr>
          <w:b/>
          <w:bCs/>
        </w:rPr>
        <w:t xml:space="preserve">Round 1 setup: </w:t>
      </w:r>
      <w:r>
        <w:rPr>
          <w:i/>
          <w:iCs/>
        </w:rPr>
        <w:t xml:space="preserve">"A consultant from Mercer has emailed your Head of Retail Operations. Politely but firmly, she’s pointing out that the unit allocation on a large DC scheme doesn’t match her own calculations. Your ops team investigates and discovers that someone — nobody knows who, nobody knows when — hard-coded a 4% income accrual rate as a fallback for when actual distribution figures aren’t available from the fund managers. For a handful of funds, it’s been firing for... a while. ‘It’s not just that policy,’ says the analyst. ‘It’s not just that scheme.’ The next fund distribution is tomorrow morning."</w:t>
      </w:r>
    </w:p>
    <w:p>
      <w:pPr>
        <w:spacing w:after="120"/>
      </w:pPr>
      <w:r>
        <w:t xml:space="preserve"/>
      </w:r>
    </w:p>
    <w:p>
      <w:pPr>
        <w:spacing w:after="120"/>
      </w:pPr>
      <w:r>
        <w:t xml:space="preserve">Round 1 options: (1) Cancel tomorrow’s distribution — stops the bleeding but fires a flare, consultants and FCA notice. (2) Let the distribution run, plan to back out later — buys time but you’ve knowingly let a wrong distribution go through. (3) Manual override on affected funds only — surgical, 70% chance it works, 30% chance you create a second error. (4) Cancel distribution AND proactively call the FCA — textbook right answer but commits you to a timeline and creates an open regulatory case before you understand the problem. (5) Fix only the Mercer consultant’s scheme, treat as isolated — works for three weeks until another consultant finds the same issue; then you’re in a much worse position with lost credibility.</w:t>
      </w:r>
    </w:p>
    <w:p>
      <w:pPr>
        <w:spacing w:after="120"/>
      </w:pPr>
      <w:r>
        <w:t xml:space="preserve"/>
      </w:r>
    </w:p>
    <w:p>
      <w:pPr>
        <w:spacing w:after="120"/>
      </w:pPr>
      <w:r>
        <w:rPr>
          <w:b/>
          <w:bCs/>
        </w:rPr>
        <w:t xml:space="preserve">Round 2 setup (remediation): </w:t>
      </w:r>
      <w:r>
        <w:rPr>
          <w:i/>
          <w:iCs/>
        </w:rPr>
        <w:t xml:space="preserve">The reconciliation reveals the true scale: {total_misallocation} across {policies_affected} policies. The question is how to remediate. Options: (1) Full remediation + clawback from overpaid clients — mathematically clean but generates terrible headlines about demanding money back from pensioners. (2) Top up losers, don’t claw back — firm eats the cost, board asks why shareholders are paying. (3) Top up losers, claw back only above de minimis (e.g. £500) — pragmatic middle ground. (4) Set de minimis on BOTH top-ups and clawbacks — saves cost but FCA takes a dim view. (5) Commission independent Big Four review before deciding — thorough but costs £2m, takes 8 weeks, during which complaints escalate.</w:t>
      </w:r>
    </w:p>
    <w:p>
      <w:pPr>
        <w:spacing w:after="120"/>
      </w:pPr>
      <w:r>
        <w:t xml:space="preserve"/>
      </w:r>
    </w:p>
    <w:p>
      <w:pPr>
        <w:spacing w:after="120"/>
      </w:pPr>
      <w:r>
        <w:rPr>
          <w:b/>
          <w:bCs/>
        </w:rPr>
        <w:t xml:space="preserve">Round 3 setup (the second error): </w:t>
      </w:r>
      <w:r>
        <w:rPr>
          <w:i/>
          <w:iCs/>
        </w:rPr>
        <w:t xml:space="preserve">"Your Head of Operations has just walked into your office and closed the door. ‘There was a bug in the reconciliation spreadsheet. Some of the correction amounts were wrong. About 15,000 policies.’ He sits down without being invited. ‘I’m very sorry.’" Options: (1) Full re-remediation with system-based recalculation. (2) Re-correct only where second error exceeds materiality threshold. (3) Quietly absorb the differences and close the file — risk that FCA finds discrepancies on review.</w:t>
      </w:r>
    </w:p>
    <w:p>
      <w:r>
        <w:br w:type="page"/>
      </w:r>
    </w:p>
    <w:p>
      <w:pPr>
        <w:pStyle w:val="Heading1"/>
      </w:pPr>
      <w:r>
        <w:t xml:space="preserve">7. Additional Scenario Pool (To Be Fully Specified During Build)</w:t>
      </w:r>
    </w:p>
    <w:p>
      <w:pPr>
        <w:spacing w:after="120"/>
      </w:pPr>
      <w:r>
        <w:t xml:space="preserve">The following scenarios have been designed at outline level. Full option sets and consequence mappings should be developed during the build phase, following the patterns established by the three core scenarios above.</w:t>
      </w:r>
    </w:p>
    <w:p>
      <w:pPr>
        <w:spacing w:after="120"/>
      </w:pPr>
      <w:r>
        <w:t xml:space="preserve"/>
      </w:r>
    </w:p>
    <w:p>
      <w:pPr>
        <w:pStyle w:val="Heading2"/>
      </w:pPr>
      <w:r>
        <w:t xml:space="preserve">7.1 CTO Systems Investment</w:t>
      </w:r>
    </w:p>
    <w:p>
      <w:pPr>
        <w:spacing w:after="120"/>
      </w:pPr>
      <w:r>
        <w:rPr>
          <w:b/>
          <w:bCs/>
        </w:rPr>
        <w:t xml:space="preserve">Tentpole. Year 1–2. SAM.</w:t>
      </w:r>
    </w:p>
    <w:p>
      <w:pPr>
        <w:spacing w:after="120"/>
      </w:pPr>
      <w:r>
        <w:t xml:space="preserve">CTO wants £40m over 3 years to replace legacy platform. Manual reconciliations, spreadsheet processes, near-misses on NAV errors. CFO wants to defer. Options range from full funding now (expensive, hits current-year P&amp;L, and importantly the project balloons in cost in subsequent years regardless) through to quick patch, phased approach, or full deferral. Key compounding: funded systems improve outcomes in gilt meltdown (better real-time data) and calculation error (caught earlier). Deferred systems worsen both.</w:t>
      </w:r>
    </w:p>
    <w:p>
      <w:pPr>
        <w:spacing w:after="120"/>
      </w:pPr>
      <w:r>
        <w:t xml:space="preserve"/>
      </w:r>
    </w:p>
    <w:p>
      <w:pPr>
        <w:pStyle w:val="Heading2"/>
      </w:pPr>
      <w:r>
        <w:t xml:space="preserve">7.2 Bulk Annuity Pricing Squeeze</w:t>
      </w:r>
    </w:p>
    <w:p>
      <w:pPr>
        <w:spacing w:after="120"/>
      </w:pPr>
      <w:r>
        <w:rPr>
          <w:b/>
          <w:bCs/>
        </w:rPr>
        <w:t xml:space="preserve">Tentpole. Year 2–3. SIR.</w:t>
      </w:r>
    </w:p>
    <w:p>
      <w:pPr>
        <w:spacing w:after="120"/>
      </w:pPr>
      <w:r>
        <w:t xml:space="preserve">Head of Institutional Retirement wants to sharpen pricing on a £3bn DB scheme buyout. Rothman’s are circling. Actuaries uncomfortable, sales team adamant. Options: hold pricing discipline (lose deal, pipeline impact), shave margin slightly, match Rothman’s price, go more aggressive, or propose creative risk-sharing structure. Key dynamic: margin directly affects solvency buffer available for later shocks.</w:t>
      </w:r>
    </w:p>
    <w:p>
      <w:pPr>
        <w:spacing w:after="120"/>
      </w:pPr>
      <w:r>
        <w:t xml:space="preserve"/>
      </w:r>
    </w:p>
    <w:p>
      <w:pPr>
        <w:pStyle w:val="Heading2"/>
      </w:pPr>
      <w:r>
        <w:t xml:space="preserve">7.3 Internal Ratings Team Expansion</w:t>
      </w:r>
    </w:p>
    <w:p>
      <w:pPr>
        <w:spacing w:after="120"/>
      </w:pPr>
      <w:r>
        <w:rPr>
          <w:b/>
          <w:bCs/>
        </w:rPr>
        <w:t xml:space="preserve">Pool scenario. Year 1–3. SAM.</w:t>
      </w:r>
    </w:p>
    <w:p>
      <w:pPr>
        <w:spacing w:after="120"/>
      </w:pPr>
      <w:r>
        <w:t xml:space="preserve">The sardonic Belgian Head of Internal Ratings requests three additional analysts. "We are rating £4bn of private assets with five people. This is not serious." CFO suggests external agencies are adequate. Options range from full expansion to hiring freeze. Compounding: expanded team provides early warning in private credit crunch; understaffed team means reliance on agency ratings that are six months stale.</w:t>
      </w:r>
    </w:p>
    <w:p>
      <w:pPr>
        <w:spacing w:after="120"/>
      </w:pPr>
      <w:r>
        <w:t xml:space="preserve"/>
      </w:r>
    </w:p>
    <w:p>
      <w:pPr>
        <w:pStyle w:val="Heading2"/>
      </w:pPr>
      <w:r>
        <w:t xml:space="preserve">7.4 CEO Growth Targets</w:t>
      </w:r>
    </w:p>
    <w:p>
      <w:pPr>
        <w:spacing w:after="120"/>
      </w:pPr>
      <w:r>
        <w:rPr>
          <w:b/>
          <w:bCs/>
        </w:rPr>
        <w:t xml:space="preserve">Pool scenario. Year 1–3. Group.</w:t>
      </w:r>
    </w:p>
    <w:p>
      <w:pPr>
        <w:spacing w:after="120"/>
      </w:pPr>
      <w:r>
        <w:t xml:space="preserve">CEO wants to announce ambitious growth at investor day without capital plan support. Options involve pushing back, negotiating a softer target, or agreeing. Board confidence and P&amp;L implications. Extra tension if yield grab was previously blocked (board already frustrated).</w:t>
      </w:r>
    </w:p>
    <w:p>
      <w:pPr>
        <w:spacing w:after="120"/>
      </w:pPr>
      <w:r>
        <w:t xml:space="preserve"/>
      </w:r>
    </w:p>
    <w:p>
      <w:pPr>
        <w:pStyle w:val="Heading2"/>
      </w:pPr>
      <w:r>
        <w:t xml:space="preserve">7.5 Fee Pressure Decision</w:t>
      </w:r>
    </w:p>
    <w:p>
      <w:pPr>
        <w:spacing w:after="120"/>
      </w:pPr>
      <w:r>
        <w:rPr>
          <w:b/>
          <w:bCs/>
        </w:rPr>
        <w:t xml:space="preserve">Pool scenario. Year 2–4. SAM.</w:t>
      </w:r>
    </w:p>
    <w:p>
      <w:pPr>
        <w:spacing w:after="120"/>
      </w:pPr>
      <w:r>
        <w:t xml:space="preserve">Losing mandates to Vanguard and BlackRock. Commercial team wants 30% fee cut on flagship funds. Protects AUM but crushes margins and investment in risk infrastructure. Implications for Workplace division (asset flywheel depends on SAM fees).</w:t>
      </w:r>
    </w:p>
    <w:p>
      <w:pPr>
        <w:spacing w:after="120"/>
      </w:pPr>
      <w:r>
        <w:t xml:space="preserve"/>
      </w:r>
    </w:p>
    <w:p>
      <w:pPr>
        <w:pStyle w:val="Heading2"/>
      </w:pPr>
      <w:r>
        <w:t xml:space="preserve">7.6 Private Credit Crunch</w:t>
      </w:r>
    </w:p>
    <w:p>
      <w:pPr>
        <w:spacing w:after="120"/>
      </w:pPr>
      <w:r>
        <w:rPr>
          <w:b/>
          <w:bCs/>
        </w:rPr>
        <w:t xml:space="preserve">Pool scenario. Year 3–5. SAM.</w:t>
      </w:r>
    </w:p>
    <w:p>
      <w:pPr>
        <w:spacing w:after="120"/>
      </w:pPr>
      <w:r>
        <w:t xml:space="preserve">Three major private credit funds gate and write down NAVs. Severity is random (10–40%). Your exposure depends entirely on yield grab decision. If you held the line, you’re a spectator. If you went big, you’re in trouble. The CFO claims he was never really pushing for it.</w:t>
      </w:r>
    </w:p>
    <w:p>
      <w:pPr>
        <w:spacing w:after="120"/>
      </w:pPr>
      <w:r>
        <w:t xml:space="preserve"/>
      </w:r>
    </w:p>
    <w:p>
      <w:pPr>
        <w:pStyle w:val="Heading2"/>
      </w:pPr>
      <w:r>
        <w:t xml:space="preserve">7.7 AI-Powered Cyber Attack</w:t>
      </w:r>
    </w:p>
    <w:p>
      <w:pPr>
        <w:spacing w:after="120"/>
      </w:pPr>
      <w:r>
        <w:rPr>
          <w:b/>
          <w:bCs/>
        </w:rPr>
        <w:t xml:space="preserve">Pool scenario. Year 2–5. Group.</w:t>
      </w:r>
    </w:p>
    <w:p>
      <w:pPr>
        <w:spacing w:after="120"/>
      </w:pPr>
      <w:r>
        <w:t xml:space="preserve">Sophisticated attack via compromised third-party data feed. Attacker may have been inside for weeks. Incident response plan exists but hasn’t been tested since 2022. Options around containment, disclosure, client notification. If operational resilience was funded, response is much more effective.</w:t>
      </w:r>
    </w:p>
    <w:p>
      <w:pPr>
        <w:spacing w:after="120"/>
      </w:pPr>
      <w:r>
        <w:t xml:space="preserve"/>
      </w:r>
    </w:p>
    <w:p>
      <w:pPr>
        <w:pStyle w:val="Heading2"/>
      </w:pPr>
      <w:r>
        <w:t xml:space="preserve">7.8 The Whistleblower</w:t>
      </w:r>
    </w:p>
    <w:p>
      <w:pPr>
        <w:spacing w:after="120"/>
      </w:pPr>
      <w:r>
        <w:rPr>
          <w:b/>
          <w:bCs/>
        </w:rPr>
        <w:t xml:space="preserve">Pool scenario. Year 3–5. SIR.</w:t>
      </w:r>
    </w:p>
    <w:p>
      <w:pPr>
        <w:spacing w:after="120"/>
      </w:pPr>
      <w:r>
        <w:t xml:space="preserve">Anonymous letter alleging systematic under-reserving by the Head of Actuarial (close colleague of CEO). Options around investigation, disclosure, and handling personal relationships vs fiduciary duty.</w:t>
      </w:r>
    </w:p>
    <w:p>
      <w:pPr>
        <w:spacing w:after="120"/>
      </w:pPr>
      <w:r>
        <w:t xml:space="preserve"/>
      </w:r>
    </w:p>
    <w:p>
      <w:pPr>
        <w:pStyle w:val="Heading2"/>
      </w:pPr>
      <w:r>
        <w:t xml:space="preserve">7.9 The Model Failure</w:t>
      </w:r>
    </w:p>
    <w:p>
      <w:pPr>
        <w:spacing w:after="120"/>
      </w:pPr>
      <w:r>
        <w:rPr>
          <w:b/>
          <w:bCs/>
        </w:rPr>
        <w:t xml:space="preserve">Pool scenario. Year 3–5. SIR.</w:t>
      </w:r>
    </w:p>
    <w:p>
      <w:pPr>
        <w:spacing w:after="120"/>
      </w:pPr>
      <w:r>
        <w:t xml:space="preserve">Longevity model coding error since 2021. Reserves £200m light. CFO wants to phase correction over 3 years. External auditor hasn’t spotted it. Options around disclosure timing and correction approach.</w:t>
      </w:r>
    </w:p>
    <w:p>
      <w:pPr>
        <w:spacing w:after="120"/>
      </w:pPr>
      <w:r>
        <w:t xml:space="preserve"/>
      </w:r>
    </w:p>
    <w:p>
      <w:pPr>
        <w:pStyle w:val="Heading2"/>
      </w:pPr>
      <w:r>
        <w:t xml:space="preserve">7.10 The FT Journalist</w:t>
      </w:r>
    </w:p>
    <w:p>
      <w:pPr>
        <w:spacing w:after="120"/>
      </w:pPr>
      <w:r>
        <w:rPr>
          <w:b/>
          <w:bCs/>
        </w:rPr>
        <w:t xml:space="preserve">Pool scenario. Year 2–5. Group.</w:t>
      </w:r>
    </w:p>
    <w:p>
      <w:pPr>
        <w:spacing w:after="120"/>
      </w:pPr>
      <w:r>
        <w:t xml:space="preserve">Financial Times journalist calling about exposure to a specific troubled fund / the Goldman trader’s losses (conditional on earlier choices). PR wants ‘no comment,’ CFO wants robust denial, actual position is nuanced. Options around crisis communications strategy.</w:t>
      </w:r>
    </w:p>
    <w:p>
      <w:pPr>
        <w:spacing w:after="120"/>
      </w:pPr>
      <w:r>
        <w:t xml:space="preserve"/>
      </w:r>
    </w:p>
    <w:p>
      <w:pPr>
        <w:pStyle w:val="Heading2"/>
      </w:pPr>
      <w:r>
        <w:t xml:space="preserve">7.11 Data Centre Fire</w:t>
      </w:r>
    </w:p>
    <w:p>
      <w:pPr>
        <w:spacing w:after="120"/>
      </w:pPr>
      <w:r>
        <w:rPr>
          <w:b/>
          <w:bCs/>
        </w:rPr>
        <w:t xml:space="preserve">Pool scenario. Year 2–5. SAM.</w:t>
      </w:r>
    </w:p>
    <w:p>
      <w:pPr>
        <w:spacing w:after="120"/>
      </w:pPr>
      <w:r>
        <w:t xml:space="preserve">Infrastructure investment — a major data centre — suffers a serious fire. Two contractors injured. Press asking about ESG due diligence on fire safety. Acquired through pooled fund, responsibility is murky. Options around public response, investigation, and write-down.</w:t>
      </w:r>
    </w:p>
    <w:p>
      <w:pPr>
        <w:spacing w:after="120"/>
      </w:pPr>
      <w:r>
        <w:t xml:space="preserve"/>
      </w:r>
    </w:p>
    <w:p>
      <w:pPr>
        <w:pStyle w:val="Heading2"/>
      </w:pPr>
      <w:r>
        <w:t xml:space="preserve">7.12 Building Structural Issues</w:t>
      </w:r>
    </w:p>
    <w:p>
      <w:pPr>
        <w:spacing w:after="120"/>
      </w:pPr>
      <w:r>
        <w:rPr>
          <w:b/>
          <w:bCs/>
        </w:rPr>
        <w:t xml:space="preserve">Pool scenario. Year 2–5. SAM.</w:t>
      </w:r>
    </w:p>
    <w:p>
      <w:pPr>
        <w:spacing w:after="120"/>
      </w:pPr>
      <w:r>
        <w:t xml:space="preserve">Residential development in property portfolio has structural issues. Building needs evacuation and remediation. Developer blames contractor. Steadfast’s name is on the fund. Options around liability, remediation costs, and public positioning.</w:t>
      </w:r>
    </w:p>
    <w:p>
      <w:pPr>
        <w:spacing w:after="120"/>
      </w:pPr>
      <w:r>
        <w:t xml:space="preserve"/>
      </w:r>
    </w:p>
    <w:p>
      <w:pPr>
        <w:pStyle w:val="Heading2"/>
      </w:pPr>
      <w:r>
        <w:t xml:space="preserve">7.13 DC Client Suitability Pressure</w:t>
      </w:r>
    </w:p>
    <w:p>
      <w:pPr>
        <w:spacing w:after="120"/>
      </w:pPr>
      <w:r>
        <w:rPr>
          <w:b/>
          <w:bCs/>
        </w:rPr>
        <w:t xml:space="preserve">Pool scenario. Year 2–4. SW.</w:t>
      </w:r>
    </w:p>
    <w:p>
      <w:pPr>
        <w:spacing w:after="120"/>
      </w:pPr>
      <w:r>
        <w:t xml:space="preserve">Large corporate DC client threatens to move to competitor unless you bundle in investment options you’re uncomfortable with from a suitability perspective. Revenue vs. conduct risk.</w:t>
      </w:r>
    </w:p>
    <w:p>
      <w:pPr>
        <w:spacing w:after="120"/>
      </w:pPr>
      <w:r>
        <w:t xml:space="preserve"/>
      </w:r>
    </w:p>
    <w:p>
      <w:pPr>
        <w:pStyle w:val="Heading2"/>
      </w:pPr>
      <w:r>
        <w:t xml:space="preserve">7.14 Regulator’s Thematic Review</w:t>
      </w:r>
    </w:p>
    <w:p>
      <w:pPr>
        <w:spacing w:after="120"/>
      </w:pPr>
      <w:r>
        <w:rPr>
          <w:b/>
          <w:bCs/>
        </w:rPr>
        <w:t xml:space="preserve">Tentpole. Year 5. Group. This is the reckoning scenario.</w:t>
      </w:r>
    </w:p>
    <w:p>
      <w:pPr>
        <w:spacing w:after="120"/>
      </w:pPr>
      <w:r>
        <w:t xml:space="preserve">PRA announces a thematic review targeting the area where the player has been weakest. The specific focus is conditional on prior decisions: if you loosened asset quality, it’s a review of MA eligibility and asset risk. If you had operational issues, it’s operational resilience. If you had disclosure problems, it’s governance and culture. The scenario’s difficulty and options adapt to the player’s track record. A player with a clean record gets an easy ride. A player with skeletons faces a much harder set of choices about cooperation, disclosure of past issues, and remediation commitments.</w:t>
      </w:r>
    </w:p>
    <w:p>
      <w:pPr>
        <w:spacing w:after="120"/>
      </w:pPr>
      <w:r>
        <w:t xml:space="preserve"/>
      </w:r>
    </w:p>
    <w:p>
      <w:pPr>
        <w:pStyle w:val="Heading2"/>
      </w:pPr>
      <w:r>
        <w:t xml:space="preserve">7.15 Headcount Pressure</w:t>
      </w:r>
    </w:p>
    <w:p>
      <w:pPr>
        <w:spacing w:after="120"/>
      </w:pPr>
      <w:r>
        <w:rPr>
          <w:b/>
          <w:bCs/>
        </w:rPr>
        <w:t xml:space="preserve">Pool scenario. Year 2–4. Group.</w:t>
      </w:r>
    </w:p>
    <w:p>
      <w:pPr>
        <w:spacing w:after="120"/>
      </w:pPr>
      <w:r>
        <w:t xml:space="preserve">Board wants 15% reduction in risk function headcount. "Other firms manage with smaller teams." You know this means losing your best model validation people. Options range from compliance to pushback to proposing alternative efficiencies.</w:t>
      </w:r>
    </w:p>
    <w:p>
      <w:r>
        <w:br w:type="page"/>
      </w:r>
    </w:p>
    <w:p>
      <w:pPr>
        <w:pStyle w:val="Heading1"/>
      </w:pPr>
      <w:r>
        <w:t xml:space="preserve">8. Narrative Generation and End-Game Report</w:t>
      </w:r>
    </w:p>
    <w:p>
      <w:pPr>
        <w:pStyle w:val="Heading2"/>
      </w:pPr>
      <w:r>
        <w:t xml:space="preserve">8.1 Per-Decision Narratives</w:t>
      </w:r>
    </w:p>
    <w:p>
      <w:pPr>
        <w:spacing w:after="120"/>
      </w:pPr>
      <w:r>
        <w:t xml:space="preserve">Each option in each scenario has a narrative_snippet field containing 2–3 sentences that get appended to the player’s story. These should be written in a wry, slightly detached third-person voice, as if narrated by a sardonic observer. Example: "In Year 1, you approved a measured expansion into private credit, overruling the CFO’s more ambitious proposal. The Head of Internal Ratings acknowledged this with what might, in certain lighting, have been mistaken for approval."</w:t>
      </w:r>
    </w:p>
    <w:p>
      <w:pPr>
        <w:spacing w:after="120"/>
      </w:pPr>
      <w:r>
        <w:t xml:space="preserve">Where random outcomes occur, the narrative should reflect what actually happened: "Gilt yields rose a further 180bps. Your decision to carry all clients looked brave for approximately forty-eight hours, at which point it began to look like something else entirely."</w:t>
      </w:r>
    </w:p>
    <w:p>
      <w:pPr>
        <w:pStyle w:val="Heading2"/>
      </w:pPr>
      <w:r>
        <w:t xml:space="preserve">8.2 End-of-Game Report Card</w:t>
      </w:r>
    </w:p>
    <w:p>
      <w:pPr>
        <w:spacing w:after="120"/>
      </w:pPr>
      <w:r>
        <w:t xml:space="preserve">The final screen presents:</w:t>
      </w:r>
    </w:p>
    <w:p>
      <w:pPr>
        <w:pStyle w:val="ListParagraph"/>
        <w:numPr>
          <w:ilvl w:val="0"/>
          <w:numId w:val="4"/>
        </w:numPr>
        <w:spacing w:after="60"/>
      </w:pPr>
      <w:r>
        <w:t xml:space="preserve">A title/epithet for the player’s CRO tenure (see examples below)</w:t>
      </w:r>
    </w:p>
    <w:p>
      <w:pPr>
        <w:pStyle w:val="ListParagraph"/>
        <w:numPr>
          <w:ilvl w:val="0"/>
          <w:numId w:val="4"/>
        </w:numPr>
        <w:spacing w:after="60"/>
      </w:pPr>
      <w:r>
        <w:t xml:space="preserve">A 5-year timeline with key events plotted (decisions + outcomes)</w:t>
      </w:r>
    </w:p>
    <w:p>
      <w:pPr>
        <w:pStyle w:val="ListParagraph"/>
        <w:numPr>
          <w:ilvl w:val="0"/>
          <w:numId w:val="4"/>
        </w:numPr>
        <w:spacing w:after="60"/>
      </w:pPr>
      <w:r>
        <w:t xml:space="preserve">Final scores across all five dimensions with visual indicators</w:t>
      </w:r>
    </w:p>
    <w:p>
      <w:pPr>
        <w:pStyle w:val="ListParagraph"/>
        <w:numPr>
          <w:ilvl w:val="0"/>
          <w:numId w:val="4"/>
        </w:numPr>
        <w:spacing w:after="60"/>
      </w:pPr>
      <w:r>
        <w:t xml:space="preserve">The full narrative of their tenure, assembled from per-decision snippets</w:t>
      </w:r>
    </w:p>
    <w:p>
      <w:pPr>
        <w:pStyle w:val="ListParagraph"/>
        <w:numPr>
          <w:ilvl w:val="0"/>
          <w:numId w:val="4"/>
        </w:numPr>
        <w:spacing w:after="60"/>
      </w:pPr>
      <w:r>
        <w:t xml:space="preserve">A "luck factor" showing how their random outcomes compared to the average</w:t>
      </w:r>
    </w:p>
    <w:p>
      <w:pPr>
        <w:pStyle w:val="ListParagraph"/>
        <w:numPr>
          <w:ilvl w:val="0"/>
          <w:numId w:val="4"/>
        </w:numPr>
        <w:spacing w:after="60"/>
      </w:pPr>
      <w:r>
        <w:t xml:space="preserve">A comparison to aggregate stats ("You were more cautious than 72% of CROs")</w:t>
      </w:r>
    </w:p>
    <w:p>
      <w:pPr>
        <w:pStyle w:val="Heading2"/>
      </w:pPr>
      <w:r>
        <w:t xml:space="preserve">8.3 Tenure Titles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rPr>
              <w:t xml:space="preserve">Title</w:t>
            </w:r>
          </w:p>
        </w:tc>
        <w:tc>
          <w:tcPr>
            <w:tcW w:type="dxa" w:w="6026"/>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rPr>
              <w:t xml:space="preserve">Conditions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Steady Hand"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Survived, modest profits, clean regulatory record, boring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Gambler"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profits but significant regulatory trouble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People’s Champion"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Great customer outcomes, board fired you for being too cautious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"Gone by Christmas"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Board lost confidence early, fired before year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PRA’s Favourite"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Wound down under regulatory direction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Phoenix" (ironic)"</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Nearly died but recovered through aggressive correction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"Steadfast: Still Here, Barely"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Ultra-cautious, survived but firm is dying of irrelevance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Lucky One"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outcomes driven primarily by favourable random rolls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"Against All Odds"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outcomes despite tough random rolls — genuine skill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Sphinx"</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Copied Sphinx’s strategy and it worked (this time)</w:t>
            </w:r>
          </w:p>
        </w:tc>
      </w:tr>
    </w:tbl>
    <w:p>
      <w:r>
        <w:br w:type="page"/>
      </w:r>
    </w:p>
    <w:p>
      <w:pPr>
        <w:pStyle w:val="Heading1"/>
      </w:pPr>
      <w:r>
        <w:t xml:space="preserve">9. Leaderboard and Aggregate Statistics</w:t>
      </w:r>
    </w:p>
    <w:p>
      <w:pPr>
        <w:pStyle w:val="Heading2"/>
      </w:pPr>
      <w:r>
        <w:t xml:space="preserve">9.1 Data Captured Per Session</w:t>
      </w:r>
    </w:p>
    <w:p>
      <w:pPr>
        <w:pStyle w:val="ListParagraph"/>
        <w:numPr>
          <w:ilvl w:val="0"/>
          <w:numId w:val="5"/>
        </w:numPr>
        <w:spacing w:after="60"/>
      </w:pPr>
      <w:r>
        <w:t xml:space="preserve">Player name (free text entry)</w:t>
      </w:r>
    </w:p>
    <w:p>
      <w:pPr>
        <w:pStyle w:val="ListParagraph"/>
        <w:numPr>
          <w:ilvl w:val="0"/>
          <w:numId w:val="5"/>
        </w:numPr>
        <w:spacing w:after="60"/>
      </w:pPr>
      <w:r>
        <w:t xml:space="preserve">Selected strategy (Guardian / Pragmatist / Builder / Disruptor)</w:t>
      </w:r>
    </w:p>
    <w:p>
      <w:pPr>
        <w:pStyle w:val="ListParagraph"/>
        <w:numPr>
          <w:ilvl w:val="0"/>
          <w:numId w:val="5"/>
        </w:numPr>
        <w:spacing w:after="60"/>
      </w:pPr>
      <w:r>
        <w:t xml:space="preserve">Timestamp of game start and completion</w:t>
      </w:r>
    </w:p>
    <w:p>
      <w:pPr>
        <w:pStyle w:val="ListParagraph"/>
        <w:numPr>
          <w:ilvl w:val="0"/>
          <w:numId w:val="5"/>
        </w:numPr>
        <w:spacing w:after="60"/>
      </w:pPr>
      <w:r>
        <w:t xml:space="preserve">For each scenario: scenario_id, option_chosen, random_params_rolled, score_impacts, narrative_snippet</w:t>
      </w:r>
    </w:p>
    <w:p>
      <w:pPr>
        <w:pStyle w:val="ListParagraph"/>
        <w:numPr>
          <w:ilvl w:val="0"/>
          <w:numId w:val="5"/>
        </w:numPr>
        <w:spacing w:after="60"/>
      </w:pPr>
      <w:r>
        <w:t xml:space="preserve">Final scores across all dimensions</w:t>
      </w:r>
    </w:p>
    <w:p>
      <w:pPr>
        <w:pStyle w:val="ListParagraph"/>
        <w:numPr>
          <w:ilvl w:val="0"/>
          <w:numId w:val="5"/>
        </w:numPr>
        <w:spacing w:after="60"/>
      </w:pPr>
      <w:r>
        <w:t xml:space="preserve">Tenure title</w:t>
      </w:r>
    </w:p>
    <w:p>
      <w:pPr>
        <w:pStyle w:val="ListParagraph"/>
        <w:numPr>
          <w:ilvl w:val="0"/>
          <w:numId w:val="5"/>
        </w:numPr>
        <w:spacing w:after="60"/>
      </w:pPr>
      <w:r>
        <w:t xml:space="preserve">Luck factor (aggregate favourability of random outcomes vs expected values)</w:t>
      </w:r>
    </w:p>
    <w:p>
      <w:pPr>
        <w:pStyle w:val="Heading2"/>
      </w:pPr>
      <w:r>
        <w:t xml:space="preserve">9.2 Leaderboard Display</w:t>
      </w:r>
    </w:p>
    <w:p>
      <w:pPr>
        <w:spacing w:after="120"/>
      </w:pPr>
      <w:r>
        <w:t xml:space="preserve">A public leaderboard page (separate URL) showing all completed games, sortable by different dimensions. Default sort by a composite score that weights all five dimensions. Also show:</w:t>
      </w:r>
    </w:p>
    <w:p>
      <w:pPr>
        <w:pStyle w:val="ListParagraph"/>
        <w:numPr>
          <w:ilvl w:val="0"/>
          <w:numId w:val="6"/>
        </w:numPr>
        <w:spacing w:after="60"/>
      </w:pPr>
      <w:r>
        <w:t xml:space="preserve">Overall rankings with tenure titles</w:t>
      </w:r>
    </w:p>
    <w:p>
      <w:pPr>
        <w:pStyle w:val="ListParagraph"/>
        <w:numPr>
          <w:ilvl w:val="0"/>
          <w:numId w:val="6"/>
        </w:numPr>
        <w:spacing w:after="60"/>
      </w:pPr>
      <w:r>
        <w:t xml:space="preserve">"Luckiest CRO" — highest luck factor</w:t>
      </w:r>
    </w:p>
    <w:p>
      <w:pPr>
        <w:pStyle w:val="ListParagraph"/>
        <w:numPr>
          <w:ilvl w:val="0"/>
          <w:numId w:val="6"/>
        </w:numPr>
        <w:spacing w:after="60"/>
      </w:pPr>
      <w:r>
        <w:t xml:space="preserve">"Unluckiest CRO Who Still Survived" — lowest luck factor among non-insolvent players</w:t>
      </w:r>
    </w:p>
    <w:p>
      <w:pPr>
        <w:pStyle w:val="ListParagraph"/>
        <w:numPr>
          <w:ilvl w:val="0"/>
          <w:numId w:val="6"/>
        </w:numPr>
        <w:spacing w:after="60"/>
      </w:pPr>
      <w:r>
        <w:t xml:space="preserve">"Most Profitable" — highest cumulative P&amp;L regardless of other outcomes</w:t>
      </w:r>
    </w:p>
    <w:p>
      <w:pPr>
        <w:pStyle w:val="ListParagraph"/>
        <w:numPr>
          <w:ilvl w:val="0"/>
          <w:numId w:val="6"/>
        </w:numPr>
        <w:spacing w:after="60"/>
      </w:pPr>
      <w:r>
        <w:t xml:space="preserve">"Cleanest Record" — best regulatory standing</w:t>
      </w:r>
    </w:p>
    <w:p>
      <w:pPr>
        <w:pStyle w:val="ListParagraph"/>
        <w:numPr>
          <w:ilvl w:val="0"/>
          <w:numId w:val="6"/>
        </w:numPr>
        <w:spacing w:after="60"/>
      </w:pPr>
      <w:r>
        <w:t xml:space="preserve">"People’s Champion" — best reputation score</w:t>
      </w:r>
    </w:p>
    <w:p>
      <w:pPr>
        <w:pStyle w:val="Heading2"/>
      </w:pPr>
      <w:r>
        <w:t xml:space="preserve">9.3 Aggregate Statistics for Presentation</w:t>
      </w:r>
    </w:p>
    <w:p>
      <w:pPr>
        <w:spacing w:after="120"/>
      </w:pPr>
      <w:r>
        <w:t xml:space="preserve">For projecting during the away day:</w:t>
      </w:r>
    </w:p>
    <w:p>
      <w:pPr>
        <w:pStyle w:val="ListParagraph"/>
        <w:numPr>
          <w:ilvl w:val="0"/>
          <w:numId w:val="7"/>
        </w:numPr>
        <w:spacing w:after="60"/>
      </w:pPr>
      <w:r>
        <w:t xml:space="preserve">Pie charts: "What did CROs do when the Chancellor started dribbling?" (distribution of choices per scenario)</w:t>
      </w:r>
    </w:p>
    <w:p>
      <w:pPr>
        <w:pStyle w:val="ListParagraph"/>
        <w:numPr>
          <w:ilvl w:val="0"/>
          <w:numId w:val="7"/>
        </w:numPr>
        <w:spacing w:after="60"/>
      </w:pPr>
      <w:r>
        <w:t xml:space="preserve">Bar chart: distribution of outcomes (insolvent / fired / fined / survived clean)</w:t>
      </w:r>
    </w:p>
    <w:p>
      <w:pPr>
        <w:pStyle w:val="ListParagraph"/>
        <w:numPr>
          <w:ilvl w:val="0"/>
          <w:numId w:val="7"/>
        </w:numPr>
        <w:spacing w:after="60"/>
      </w:pPr>
      <w:r>
        <w:t xml:space="preserve">Strategy selection breakdown: how many chose each risk appetite posture</w:t>
      </w:r>
    </w:p>
    <w:p>
      <w:pPr>
        <w:pStyle w:val="ListParagraph"/>
        <w:numPr>
          <w:ilvl w:val="0"/>
          <w:numId w:val="7"/>
        </w:numPr>
        <w:spacing w:after="60"/>
      </w:pPr>
      <w:r>
        <w:t xml:space="preserve">Average scores by strategy: does declaring aggressive actually correlate with insolvency?</w:t>
      </w:r>
    </w:p>
    <w:p>
      <w:pPr>
        <w:pStyle w:val="ListParagraph"/>
        <w:numPr>
          <w:ilvl w:val="0"/>
          <w:numId w:val="7"/>
        </w:numPr>
        <w:spacing w:after="60"/>
      </w:pPr>
      <w:r>
        <w:t xml:space="preserve">"The consensus CRO": what the most common choice was at each decision point, and what outcome that path produced</w:t>
      </w:r>
    </w:p>
    <w:p>
      <w:r>
        <w:br w:type="page"/>
      </w:r>
    </w:p>
    <w:p>
      <w:pPr>
        <w:pStyle w:val="Heading1"/>
      </w:pPr>
      <w:r>
        <w:t xml:space="preserve">10. Art Direction and Illustration Brief</w:t>
      </w:r>
    </w:p>
    <w:p>
      <w:pPr>
        <w:pStyle w:val="Heading2"/>
      </w:pPr>
      <w:r>
        <w:t xml:space="preserve">10.1 Style Reference</w:t>
      </w:r>
    </w:p>
    <w:p>
      <w:pPr>
        <w:spacing w:after="120"/>
      </w:pPr>
      <w:r>
        <w:t xml:space="preserve">The visual style should evoke inkle’s "80 Days" and Torpor Games’ "Suzerain": flat colour, strong silhouettes, limited palette per scene (4–5 colours), slightly art deco or mid-century poster influenced. Characters defined by a few strong features rather than realistic rendering. Scenes are atmospheric rather than literal. The tone is affectionate satire — exaggerated but warm.</w:t>
      </w:r>
    </w:p>
    <w:p>
      <w:pPr>
        <w:pStyle w:val="Heading2"/>
      </w:pPr>
      <w:r>
        <w:t xml:space="preserve">10.2 AI Image Generation Prompting</w:t>
      </w:r>
    </w:p>
    <w:p>
      <w:pPr>
        <w:spacing w:after="120"/>
      </w:pPr>
      <w:r>
        <w:t xml:space="preserve">Use this style anchor as a prefix for all image generation prompts:</w:t>
      </w:r>
    </w:p>
    <w:p>
      <w:pPr>
        <w:spacing w:after="120"/>
      </w:pPr>
      <w:r>
        <w:rPr>
          <w:i/>
          <w:iCs/>
        </w:rPr>
        <w:t xml:space="preserve">"Editorial illustration in flat colour style, limited palette of 4–5 colours, strong geometric shapes, slightly art deco influenced. Style reference: inkle’s 80 Days game. No photorealism, no gradients, bold silhouettes with minimal detail. Warm muted tones. Risograph print aesthetic."</w:t>
      </w:r>
    </w:p>
    <w:p>
      <w:pPr>
        <w:spacing w:after="120"/>
      </w:pPr>
      <w:r>
        <w:t xml:space="preserve">If results are too polished or corporate, add: "vintage poster illustration" or "screen print aesthetic" or "mid-century graphic design." Generate all images in the same session or with the same style prefix for consistency.</w:t>
      </w:r>
    </w:p>
    <w:p>
      <w:pPr>
        <w:pStyle w:val="Heading2"/>
      </w:pPr>
      <w:r>
        <w:t xml:space="preserve">10.3 Required Assets</w:t>
      </w:r>
    </w:p>
    <w:p>
      <w:pPr>
        <w:spacing w:after="120"/>
      </w:pPr>
      <w:r>
        <w:rPr>
          <w:b/>
          <w:bCs/>
        </w:rPr>
        <w:t xml:space="preserve">Character portraits (5–6):</w:t>
      </w:r>
    </w:p>
    <w:p>
      <w:pPr>
        <w:pStyle w:val="ListParagraph"/>
        <w:numPr>
          <w:ilvl w:val="0"/>
          <w:numId w:val="9"/>
        </w:numPr>
        <w:spacing w:after="60"/>
      </w:pPr>
      <w:r>
        <w:t xml:space="preserve">The CFO: Male, expensive suit, confident smirk, always has slides</w:t>
      </w:r>
    </w:p>
    <w:p>
      <w:pPr>
        <w:pStyle w:val="ListParagraph"/>
        <w:numPr>
          <w:ilvl w:val="0"/>
          <w:numId w:val="9"/>
        </w:numPr>
        <w:spacing w:after="60"/>
      </w:pPr>
      <w:r>
        <w:t xml:space="preserve">The CEO: Female, authoritative, slightly impatient</w:t>
      </w:r>
    </w:p>
    <w:p>
      <w:pPr>
        <w:pStyle w:val="ListParagraph"/>
        <w:numPr>
          <w:ilvl w:val="0"/>
          <w:numId w:val="9"/>
        </w:numPr>
        <w:spacing w:after="60"/>
      </w:pPr>
      <w:r>
        <w:t xml:space="preserve">The Head of Internal Ratings: Female, Belgian, sardonic, expressive eyebrows, seen everything</w:t>
      </w:r>
    </w:p>
    <w:p>
      <w:pPr>
        <w:pStyle w:val="ListParagraph"/>
        <w:numPr>
          <w:ilvl w:val="0"/>
          <w:numId w:val="9"/>
        </w:numPr>
        <w:spacing w:after="60"/>
      </w:pPr>
      <w:r>
        <w:t xml:space="preserve">The Head of Institutional Retirement: Could go either way on gender, sales-oriented energy, enthusiastic</w:t>
      </w:r>
    </w:p>
    <w:p>
      <w:pPr>
        <w:pStyle w:val="ListParagraph"/>
        <w:numPr>
          <w:ilvl w:val="0"/>
          <w:numId w:val="9"/>
        </w:numPr>
        <w:spacing w:after="60"/>
      </w:pPr>
      <w:r>
        <w:t xml:space="preserve">The Regulator: Neutral, measured, slightly intimidating, PRA lanyard</w:t>
      </w:r>
    </w:p>
    <w:p>
      <w:pPr>
        <w:pStyle w:val="ListParagraph"/>
        <w:numPr>
          <w:ilvl w:val="0"/>
          <w:numId w:val="9"/>
        </w:numPr>
        <w:spacing w:after="60"/>
      </w:pPr>
      <w:r>
        <w:t xml:space="preserve">The Goldman Trader (optional): Male, slicked hair, expensive watch, radiates confidence</w:t>
      </w:r>
    </w:p>
    <w:p>
      <w:pPr>
        <w:spacing w:after="120"/>
      </w:pPr>
      <w:r>
        <w:t xml:space="preserve"/>
      </w:r>
    </w:p>
    <w:p>
      <w:pPr>
        <w:spacing w:after="120"/>
      </w:pPr>
      <w:r>
        <w:rPr>
          <w:b/>
          <w:bCs/>
        </w:rPr>
        <w:t xml:space="preserve">Scene illustrations (5–6):</w:t>
      </w:r>
    </w:p>
    <w:p>
      <w:pPr>
        <w:pStyle w:val="ListParagraph"/>
        <w:numPr>
          <w:ilvl w:val="0"/>
          <w:numId w:val="10"/>
        </w:numPr>
        <w:spacing w:after="60"/>
      </w:pPr>
      <w:r>
        <w:t xml:space="preserve">Boardroom: Long table, slides on screen, corporate but slightly exaggerated</w:t>
      </w:r>
    </w:p>
    <w:p>
      <w:pPr>
        <w:pStyle w:val="ListParagraph"/>
        <w:numPr>
          <w:ilvl w:val="0"/>
          <w:numId w:val="10"/>
        </w:numPr>
        <w:spacing w:after="60"/>
      </w:pPr>
      <w:r>
        <w:t xml:space="preserve">Trading floor in crisis: Red screens, multiple phones ringing, papers flying</w:t>
      </w:r>
    </w:p>
    <w:p>
      <w:pPr>
        <w:pStyle w:val="ListParagraph"/>
        <w:numPr>
          <w:ilvl w:val="0"/>
          <w:numId w:val="10"/>
        </w:numPr>
        <w:spacing w:after="60"/>
      </w:pPr>
      <w:r>
        <w:t xml:space="preserve">Newspaper front page: Tabloid-style headline about Steadfast, dramatic</w:t>
      </w:r>
    </w:p>
    <w:p>
      <w:pPr>
        <w:pStyle w:val="ListParagraph"/>
        <w:numPr>
          <w:ilvl w:val="0"/>
          <w:numId w:val="10"/>
        </w:numPr>
        <w:spacing w:after="60"/>
      </w:pPr>
      <w:r>
        <w:t xml:space="preserve">PRA office exterior: Imposing government building, grey sky, serious</w:t>
      </w:r>
    </w:p>
    <w:p>
      <w:pPr>
        <w:pStyle w:val="ListParagraph"/>
        <w:numPr>
          <w:ilvl w:val="0"/>
          <w:numId w:val="10"/>
        </w:numPr>
        <w:spacing w:after="60"/>
      </w:pPr>
      <w:r>
        <w:t xml:space="preserve">Data centre on fire: Dramatic but cartoonish, smoke and flames, comic tone</w:t>
      </w:r>
    </w:p>
    <w:p>
      <w:pPr>
        <w:pStyle w:val="ListParagraph"/>
        <w:numPr>
          <w:ilvl w:val="0"/>
          <w:numId w:val="10"/>
        </w:numPr>
        <w:spacing w:after="60"/>
      </w:pPr>
      <w:r>
        <w:t xml:space="preserve">Ops team around a screen: Late night, coffee cups everywhere, spreadsheet with red cell</w:t>
      </w:r>
    </w:p>
    <w:p>
      <w:pPr>
        <w:spacing w:after="120"/>
      </w:pPr>
      <w:r>
        <w:t xml:space="preserve"/>
      </w:r>
    </w:p>
    <w:p>
      <w:pPr>
        <w:spacing w:after="120"/>
      </w:pPr>
      <w:r>
        <w:rPr>
          <w:b/>
          <w:bCs/>
        </w:rPr>
        <w:t xml:space="preserve">UI assets (2–3):</w:t>
      </w:r>
    </w:p>
    <w:p>
      <w:pPr>
        <w:pStyle w:val="ListParagraph"/>
        <w:numPr>
          <w:ilvl w:val="0"/>
          <w:numId w:val="11"/>
        </w:numPr>
        <w:spacing w:after="60"/>
      </w:pPr>
      <w:r>
        <w:t xml:space="preserve">Title screen: Steadfast Group headquarters — imposing glass building, slightly absurd scale</w:t>
      </w:r>
    </w:p>
    <w:p>
      <w:pPr>
        <w:pStyle w:val="ListParagraph"/>
        <w:numPr>
          <w:ilvl w:val="0"/>
          <w:numId w:val="11"/>
        </w:numPr>
        <w:spacing w:after="60"/>
      </w:pPr>
      <w:r>
        <w:t xml:space="preserve">Results screen background: Desk with scattered papers, coffee ring stains, a resignation letter half-written</w:t>
      </w:r>
    </w:p>
    <w:p>
      <w:pPr>
        <w:pStyle w:val="ListParagraph"/>
        <w:numPr>
          <w:ilvl w:val="0"/>
          <w:numId w:val="11"/>
        </w:numPr>
        <w:spacing w:after="60"/>
      </w:pPr>
      <w:r>
        <w:t xml:space="preserve">Game over (insolvency): Building with ‘FOR SALE’ sign, tumbleweeds</w:t>
      </w:r>
    </w:p>
    <w:p>
      <w:r>
        <w:br w:type="page"/>
      </w:r>
    </w:p>
    <w:p>
      <w:pPr>
        <w:pStyle w:val="Heading1"/>
      </w:pPr>
      <w:r>
        <w:t xml:space="preserve">11. Frontend Design</w:t>
      </w:r>
    </w:p>
    <w:p>
      <w:pPr>
        <w:pStyle w:val="Heading2"/>
      </w:pPr>
      <w:r>
        <w:t xml:space="preserve">11.1 Layout</w:t>
      </w:r>
    </w:p>
    <w:p>
      <w:pPr>
        <w:spacing w:after="120"/>
      </w:pPr>
      <w:r>
        <w:t xml:space="preserve">Mobile-first, single-page React app. The primary interaction is a card-based flow:</w:t>
      </w:r>
    </w:p>
    <w:p>
      <w:pPr>
        <w:pStyle w:val="ListParagraph"/>
        <w:numPr>
          <w:ilvl w:val="0"/>
          <w:numId w:val="12"/>
        </w:numPr>
        <w:spacing w:after="60"/>
      </w:pPr>
      <w:r>
        <w:t xml:space="preserve">Title screen with game title, brief premise, name entry, and strategy selection</w:t>
      </w:r>
    </w:p>
    <w:p>
      <w:pPr>
        <w:pStyle w:val="ListParagraph"/>
        <w:numPr>
          <w:ilvl w:val="0"/>
          <w:numId w:val="12"/>
        </w:numPr>
        <w:spacing w:after="60"/>
      </w:pPr>
      <w:r>
        <w:t xml:space="preserve">Scenario card: illustration at top (16:9 aspect ratio), narrative text below, scrollable options as tappable cards beneath</w:t>
      </w:r>
    </w:p>
    <w:p>
      <w:pPr>
        <w:pStyle w:val="ListParagraph"/>
        <w:numPr>
          <w:ilvl w:val="0"/>
          <w:numId w:val="12"/>
        </w:numPr>
        <w:spacing w:after="60"/>
      </w:pPr>
      <w:r>
        <w:t xml:space="preserve">Outcome card: shown after scenarios with random elements, displaying what happened and score impact with subtle animation</w:t>
      </w:r>
    </w:p>
    <w:p>
      <w:pPr>
        <w:pStyle w:val="ListParagraph"/>
        <w:numPr>
          <w:ilvl w:val="0"/>
          <w:numId w:val="12"/>
        </w:numPr>
        <w:spacing w:after="60"/>
      </w:pPr>
      <w:r>
        <w:t xml:space="preserve">Year transition: brief interstitial showing "Year 2" etc. with a one-line summary of the state of play</w:t>
      </w:r>
    </w:p>
    <w:p>
      <w:pPr>
        <w:pStyle w:val="ListParagraph"/>
        <w:numPr>
          <w:ilvl w:val="0"/>
          <w:numId w:val="12"/>
        </w:numPr>
        <w:spacing w:after="60"/>
      </w:pPr>
      <w:r>
        <w:t xml:space="preserve">End-game report: scrollable page with timeline, scores, narrative, title, and sharing/leaderboard links</w:t>
      </w:r>
    </w:p>
    <w:p>
      <w:pPr>
        <w:pStyle w:val="Heading2"/>
      </w:pPr>
      <w:r>
        <w:t xml:space="preserve">11.2 Colour Palette</w:t>
      </w:r>
    </w:p>
    <w:p>
      <w:pPr>
        <w:spacing w:after="120"/>
      </w:pPr>
      <w:r>
        <w:t xml:space="preserve">The UI should use a muted, warm palette consistent with the illustration style. Suggested base palette:</w:t>
      </w:r>
    </w:p>
    <w:p>
      <w:pPr>
        <w:pStyle w:val="ListParagraph"/>
        <w:numPr>
          <w:ilvl w:val="0"/>
          <w:numId w:val="13"/>
        </w:numPr>
        <w:spacing w:after="60"/>
      </w:pPr>
      <w:r>
        <w:t xml:space="preserve">Background: warm off-white (#F5F0E8)</w:t>
      </w:r>
    </w:p>
    <w:p>
      <w:pPr>
        <w:pStyle w:val="ListParagraph"/>
        <w:numPr>
          <w:ilvl w:val="0"/>
          <w:numId w:val="13"/>
        </w:numPr>
        <w:spacing w:after="60"/>
      </w:pPr>
      <w:r>
        <w:t xml:space="preserve">Primary text: dark navy (#1A2744)</w:t>
      </w:r>
    </w:p>
    <w:p>
      <w:pPr>
        <w:pStyle w:val="ListParagraph"/>
        <w:numPr>
          <w:ilvl w:val="0"/>
          <w:numId w:val="13"/>
        </w:numPr>
        <w:spacing w:after="60"/>
      </w:pPr>
      <w:r>
        <w:t xml:space="preserve">Accent: muted gold (#C4A44A) for highlights and interactive elements</w:t>
      </w:r>
    </w:p>
    <w:p>
      <w:pPr>
        <w:pStyle w:val="ListParagraph"/>
        <w:numPr>
          <w:ilvl w:val="0"/>
          <w:numId w:val="13"/>
        </w:numPr>
        <w:spacing w:after="60"/>
      </w:pPr>
      <w:r>
        <w:t xml:space="preserve">Secondary: dusty blue (#6B8BAD) for secondary information</w:t>
      </w:r>
    </w:p>
    <w:p>
      <w:pPr>
        <w:pStyle w:val="ListParagraph"/>
        <w:numPr>
          <w:ilvl w:val="0"/>
          <w:numId w:val="13"/>
        </w:numPr>
        <w:spacing w:after="60"/>
      </w:pPr>
      <w:r>
        <w:t xml:space="preserve">Alert/danger: muted red (#B85C5C) for negative outcomes</w:t>
      </w:r>
    </w:p>
    <w:p>
      <w:pPr>
        <w:pStyle w:val="ListParagraph"/>
        <w:numPr>
          <w:ilvl w:val="0"/>
          <w:numId w:val="13"/>
        </w:numPr>
        <w:spacing w:after="60"/>
      </w:pPr>
      <w:r>
        <w:t xml:space="preserve">Success: muted green (#6B9B6B) for positive outcomes</w:t>
      </w:r>
    </w:p>
    <w:p>
      <w:pPr>
        <w:pStyle w:val="Heading2"/>
      </w:pPr>
      <w:r>
        <w:t xml:space="preserve">11.3 Typography</w:t>
      </w:r>
    </w:p>
    <w:p>
      <w:pPr>
        <w:spacing w:after="120"/>
      </w:pPr>
      <w:r>
        <w:t xml:space="preserve">Use a serif font for narrative text (e.g. Merriweather or Lora from Google Fonts) to evoke the literary/editorial feel of 80 Days. Use a clean sans-serif (e.g. Inter or Work Sans) for UI elements, scores, and buttons.</w:t>
      </w:r>
    </w:p>
    <w:p>
      <w:r>
        <w:br w:type="page"/>
      </w:r>
    </w:p>
    <w:p>
      <w:pPr>
        <w:pStyle w:val="Heading1"/>
      </w:pPr>
      <w:r>
        <w:t xml:space="preserve">12. Backend API Specification</w:t>
      </w:r>
    </w:p>
    <w:p>
      <w:pPr>
        <w:pStyle w:val="Heading2"/>
      </w:pPr>
      <w:r>
        <w:t xml:space="preserve">12.1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rPr>
              <w:t xml:space="preserve">Method</w:t>
            </w:r>
          </w:p>
        </w:tc>
        <w:tc>
          <w:tcPr>
            <w:tcW w:type="dxa" w:w="25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rPr>
              <w:t xml:space="preserve">Path</w:t>
            </w:r>
          </w:p>
        </w:tc>
        <w:tc>
          <w:tcPr>
            <w:tcW w:type="dxa" w:w="5026"/>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/api/sessions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new game session. Body: { player_name, strategy }. Returns session_id and first scenario.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/api/sessions/:id/decisions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a decision. Body: { scenario_id, option_chosen, sub_choice? }. Returns score impacts, narrative snippet, random outcome if applicable, and next scenario (or end-game if final).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/api/sessions/:id/report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end-of-game report for a completed session. Returns full narrative, scores, title, luck factor.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/api/leaderboard</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leaderboard data. Query params: sort_by, limit. Returns ranked list of completed sessions.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/api/stats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aggregate statistics for the presentation view. Returns choice distributions, outcome distributions, strategy correlations.</w:t>
            </w:r>
          </w:p>
        </w:tc>
      </w:tr>
    </w:tbl>
    <w:p>
      <w:pPr>
        <w:pStyle w:val="Heading2"/>
      </w:pPr>
      <w:r>
        <w:t xml:space="preserve">12.2 Database Schema</w:t>
      </w:r>
    </w:p>
    <w:p>
      <w:pPr>
        <w:spacing w:after="120"/>
      </w:pPr>
      <w:r>
        <w:t xml:space="preserve">Three tables:</w:t>
      </w:r>
    </w:p>
    <w:p>
      <w:pPr>
        <w:pStyle w:val="ListParagraph"/>
        <w:numPr>
          <w:ilvl w:val="0"/>
          <w:numId w:val="14"/>
        </w:numPr>
        <w:spacing w:after="60"/>
      </w:pPr>
      <w:r>
        <w:t xml:space="preserve">sessions: id, player_name, strategy, scenario_sequence (JSON array of scenario configs with random params pre-rolled), scores (JSON object), narrative (text, built up incrementally), tenure_title, luck_factor, status (in_progress | completed | fired | insolvent), created_at, completed_at</w:t>
      </w:r>
    </w:p>
    <w:p>
      <w:pPr>
        <w:pStyle w:val="ListParagraph"/>
        <w:numPr>
          <w:ilvl w:val="0"/>
          <w:numId w:val="14"/>
        </w:numPr>
        <w:spacing w:after="60"/>
      </w:pPr>
      <w:r>
        <w:t xml:space="preserve">decisions: id, session_id, scenario_id, round (for multi-round scenarios), option_chosen, sub_choice, random_outcome, score_impacts (JSON), narrative_snippet, created_at</w:t>
      </w:r>
    </w:p>
    <w:p>
      <w:pPr>
        <w:pStyle w:val="ListParagraph"/>
        <w:numPr>
          <w:ilvl w:val="0"/>
          <w:numId w:val="14"/>
        </w:numPr>
        <w:spacing w:after="60"/>
      </w:pPr>
      <w:r>
        <w:t xml:space="preserve">scenarios: id, title, category, division, is_tentpole, year_range, setup_text_template, options (JSON), random_params (JSON), preconditions (JSON), compounding_effects (JSON). This table is seeded from a JSON config file and is read-only at runtime.</w:t>
      </w:r>
    </w:p>
    <w:p>
      <w:r>
        <w:br w:type="page"/>
      </w:r>
    </w:p>
    <w:p>
      <w:pPr>
        <w:pStyle w:val="Heading1"/>
      </w:pPr>
      <w:r>
        <w:t xml:space="preserve">13. Build Phases</w:t>
      </w:r>
    </w:p>
    <w:p>
      <w:pPr>
        <w:pStyle w:val="Heading2"/>
      </w:pPr>
      <w:r>
        <w:t xml:space="preserve">Phase 1: Scenario Engine and Data Model (Day 1–2)</w:t>
      </w:r>
    </w:p>
    <w:p>
      <w:pPr>
        <w:pStyle w:val="ListParagraph"/>
        <w:numPr>
          <w:ilvl w:val="0"/>
          <w:numId w:val="15"/>
        </w:numPr>
        <w:spacing w:after="60"/>
      </w:pPr>
      <w:r>
        <w:t xml:space="preserve">Define the JSON schema for scenarios with full type definitions</w:t>
      </w:r>
    </w:p>
    <w:p>
      <w:pPr>
        <w:pStyle w:val="ListParagraph"/>
        <w:numPr>
          <w:ilvl w:val="0"/>
          <w:numId w:val="15"/>
        </w:numPr>
        <w:spacing w:after="60"/>
      </w:pPr>
      <w:r>
        <w:t xml:space="preserve">Build the scenario selection algorithm (tentpole placement, pool drawing, ordering rules)</w:t>
      </w:r>
    </w:p>
    <w:p>
      <w:pPr>
        <w:pStyle w:val="ListParagraph"/>
        <w:numPr>
          <w:ilvl w:val="0"/>
          <w:numId w:val="15"/>
        </w:numPr>
        <w:spacing w:after="60"/>
      </w:pPr>
      <w:r>
        <w:t xml:space="preserve">Implement the scoring engine with all five dimensions</w:t>
      </w:r>
    </w:p>
    <w:p>
      <w:pPr>
        <w:pStyle w:val="ListParagraph"/>
        <w:numPr>
          <w:ilvl w:val="0"/>
          <w:numId w:val="15"/>
        </w:numPr>
        <w:spacing w:after="60"/>
      </w:pPr>
      <w:r>
        <w:t xml:space="preserve">Implement random parameter generation (server-side)</w:t>
      </w:r>
    </w:p>
    <w:p>
      <w:pPr>
        <w:pStyle w:val="ListParagraph"/>
        <w:numPr>
          <w:ilvl w:val="0"/>
          <w:numId w:val="15"/>
        </w:numPr>
        <w:spacing w:after="60"/>
      </w:pPr>
      <w:r>
        <w:t xml:space="preserve">Implement compounding logic (how prior decisions modify future scenarios)</w:t>
      </w:r>
    </w:p>
    <w:p>
      <w:pPr>
        <w:pStyle w:val="ListParagraph"/>
        <w:numPr>
          <w:ilvl w:val="0"/>
          <w:numId w:val="15"/>
        </w:numPr>
        <w:spacing w:after="60"/>
      </w:pPr>
      <w:r>
        <w:t xml:space="preserve">Build the narrative assembly system</w:t>
      </w:r>
    </w:p>
    <w:p>
      <w:pPr>
        <w:pStyle w:val="ListParagraph"/>
        <w:numPr>
          <w:ilvl w:val="0"/>
          <w:numId w:val="15"/>
        </w:numPr>
        <w:spacing w:after="60"/>
      </w:pPr>
      <w:r>
        <w:t xml:space="preserve">Seed the database with the three fully specified scenarios</w:t>
      </w:r>
    </w:p>
    <w:p>
      <w:pPr>
        <w:pStyle w:val="ListParagraph"/>
        <w:numPr>
          <w:ilvl w:val="0"/>
          <w:numId w:val="15"/>
        </w:numPr>
        <w:spacing w:after="60"/>
      </w:pPr>
      <w:r>
        <w:t xml:space="preserve">Test the full game loop as API calls (no frontend yet)</w:t>
      </w:r>
    </w:p>
    <w:p>
      <w:pPr>
        <w:spacing w:after="120"/>
      </w:pPr>
      <w:r>
        <w:t xml:space="preserve"/>
      </w:r>
    </w:p>
    <w:p>
      <w:pPr>
        <w:pStyle w:val="Heading2"/>
      </w:pPr>
      <w:r>
        <w:t xml:space="preserve">Phase 2: Backend API and Database (Day 2–3)</w:t>
      </w:r>
    </w:p>
    <w:p>
      <w:pPr>
        <w:pStyle w:val="ListParagraph"/>
        <w:numPr>
          <w:ilvl w:val="0"/>
          <w:numId w:val="16"/>
        </w:numPr>
        <w:spacing w:after="60"/>
      </w:pPr>
      <w:r>
        <w:t xml:space="preserve">Set up Express.js server with PostgreSQL on Railway</w:t>
      </w:r>
    </w:p>
    <w:p>
      <w:pPr>
        <w:pStyle w:val="ListParagraph"/>
        <w:numPr>
          <w:ilvl w:val="0"/>
          <w:numId w:val="16"/>
        </w:numPr>
        <w:spacing w:after="60"/>
      </w:pPr>
      <w:r>
        <w:t xml:space="preserve">Implement all API endpoints</w:t>
      </w:r>
    </w:p>
    <w:p>
      <w:pPr>
        <w:pStyle w:val="ListParagraph"/>
        <w:numPr>
          <w:ilvl w:val="0"/>
          <w:numId w:val="16"/>
        </w:numPr>
        <w:spacing w:after="60"/>
      </w:pPr>
      <w:r>
        <w:t xml:space="preserve">Build session management (create, progress, complete)</w:t>
      </w:r>
    </w:p>
    <w:p>
      <w:pPr>
        <w:pStyle w:val="ListParagraph"/>
        <w:numPr>
          <w:ilvl w:val="0"/>
          <w:numId w:val="16"/>
        </w:numPr>
        <w:spacing w:after="60"/>
      </w:pPr>
      <w:r>
        <w:t xml:space="preserve">Build leaderboard queries with sorting options</w:t>
      </w:r>
    </w:p>
    <w:p>
      <w:pPr>
        <w:pStyle w:val="ListParagraph"/>
        <w:numPr>
          <w:ilvl w:val="0"/>
          <w:numId w:val="16"/>
        </w:numPr>
        <w:spacing w:after="60"/>
      </w:pPr>
      <w:r>
        <w:t xml:space="preserve">Build aggregate statistics queries</w:t>
      </w:r>
    </w:p>
    <w:p>
      <w:pPr>
        <w:pStyle w:val="ListParagraph"/>
        <w:numPr>
          <w:ilvl w:val="0"/>
          <w:numId w:val="16"/>
        </w:numPr>
        <w:spacing w:after="60"/>
      </w:pPr>
      <w:r>
        <w:t xml:space="preserve">Test with mock frontend calls</w:t>
      </w:r>
    </w:p>
    <w:p>
      <w:pPr>
        <w:spacing w:after="120"/>
      </w:pPr>
      <w:r>
        <w:t xml:space="preserve"/>
      </w:r>
    </w:p>
    <w:p>
      <w:pPr>
        <w:pStyle w:val="Heading2"/>
      </w:pPr>
      <w:r>
        <w:t xml:space="preserve">Phase 3: Frontend (Day 3–5)</w:t>
      </w:r>
    </w:p>
    <w:p>
      <w:pPr>
        <w:pStyle w:val="ListParagraph"/>
        <w:numPr>
          <w:ilvl w:val="0"/>
          <w:numId w:val="2"/>
        </w:numPr>
        <w:spacing w:after="60"/>
      </w:pPr>
      <w:r>
        <w:t xml:space="preserve">Set up React (Vite) project with Vercel deployment</w:t>
      </w:r>
    </w:p>
    <w:p>
      <w:pPr>
        <w:pStyle w:val="ListParagraph"/>
        <w:numPr>
          <w:ilvl w:val="0"/>
          <w:numId w:val="2"/>
        </w:numPr>
        <w:spacing w:after="60"/>
      </w:pPr>
      <w:r>
        <w:t xml:space="preserve">Build the title/intro screen with name entry and strategy selection</w:t>
      </w:r>
    </w:p>
    <w:p>
      <w:pPr>
        <w:pStyle w:val="ListParagraph"/>
        <w:numPr>
          <w:ilvl w:val="0"/>
          <w:numId w:val="2"/>
        </w:numPr>
        <w:spacing w:after="60"/>
      </w:pPr>
      <w:r>
        <w:t xml:space="preserve">Build the scenario card component (illustration, narrative, options)</w:t>
      </w:r>
    </w:p>
    <w:p>
      <w:pPr>
        <w:pStyle w:val="ListParagraph"/>
        <w:numPr>
          <w:ilvl w:val="0"/>
          <w:numId w:val="2"/>
        </w:numPr>
        <w:spacing w:after="60"/>
      </w:pPr>
      <w:r>
        <w:t xml:space="preserve">Build outcome/result display for random events</w:t>
      </w:r>
    </w:p>
    <w:p>
      <w:pPr>
        <w:pStyle w:val="ListParagraph"/>
        <w:numPr>
          <w:ilvl w:val="0"/>
          <w:numId w:val="2"/>
        </w:numPr>
        <w:spacing w:after="60"/>
      </w:pPr>
      <w:r>
        <w:t xml:space="preserve">Build year transition interstitials</w:t>
      </w:r>
    </w:p>
    <w:p>
      <w:pPr>
        <w:pStyle w:val="ListParagraph"/>
        <w:numPr>
          <w:ilvl w:val="0"/>
          <w:numId w:val="2"/>
        </w:numPr>
        <w:spacing w:after="60"/>
      </w:pPr>
      <w:r>
        <w:t xml:space="preserve">Build the end-game report card (timeline, scores, narrative, title)</w:t>
      </w:r>
    </w:p>
    <w:p>
      <w:pPr>
        <w:pStyle w:val="ListParagraph"/>
        <w:numPr>
          <w:ilvl w:val="0"/>
          <w:numId w:val="2"/>
        </w:numPr>
        <w:spacing w:after="60"/>
      </w:pPr>
      <w:r>
        <w:t xml:space="preserve">Build the leaderboard page</w:t>
      </w:r>
    </w:p>
    <w:p>
      <w:pPr>
        <w:pStyle w:val="ListParagraph"/>
        <w:numPr>
          <w:ilvl w:val="0"/>
          <w:numId w:val="2"/>
        </w:numPr>
        <w:spacing w:after="60"/>
      </w:pPr>
      <w:r>
        <w:t xml:space="preserve">Build the aggregate stats / presentation page</w:t>
      </w:r>
    </w:p>
    <w:p>
      <w:pPr>
        <w:pStyle w:val="ListParagraph"/>
        <w:numPr>
          <w:ilvl w:val="0"/>
          <w:numId w:val="2"/>
        </w:numPr>
        <w:spacing w:after="60"/>
      </w:pPr>
      <w:r>
        <w:t xml:space="preserve">Mobile-first responsive design throughout</w:t>
      </w:r>
    </w:p>
    <w:p>
      <w:pPr>
        <w:pStyle w:val="ListParagraph"/>
        <w:numPr>
          <w:ilvl w:val="0"/>
          <w:numId w:val="2"/>
        </w:numPr>
        <w:spacing w:after="60"/>
      </w:pPr>
      <w:r>
        <w:t xml:space="preserve">Apply colour palette, typography, and illustration style</w:t>
      </w:r>
    </w:p>
    <w:p>
      <w:pPr>
        <w:spacing w:after="120"/>
      </w:pPr>
      <w:r>
        <w:t xml:space="preserve"/>
      </w:r>
    </w:p>
    <w:p>
      <w:pPr>
        <w:pStyle w:val="Heading2"/>
      </w:pPr>
      <w:r>
        <w:t xml:space="preserve">Phase 4: Content and Calibration (Day 4–7)</w:t>
      </w:r>
    </w:p>
    <w:p>
      <w:pPr>
        <w:pStyle w:val="ListParagraph"/>
        <w:numPr>
          <w:ilvl w:val="0"/>
          <w:numId w:val="4"/>
        </w:numPr>
        <w:spacing w:after="60"/>
      </w:pPr>
      <w:r>
        <w:t xml:space="preserve">Write full option sets and consequences for all remaining scenarios (following the pattern of the three core scenarios)</w:t>
      </w:r>
    </w:p>
    <w:p>
      <w:pPr>
        <w:pStyle w:val="ListParagraph"/>
        <w:numPr>
          <w:ilvl w:val="0"/>
          <w:numId w:val="4"/>
        </w:numPr>
        <w:spacing w:after="60"/>
      </w:pPr>
      <w:r>
        <w:t xml:space="preserve">Write all narrative snippets in consistent voice</w:t>
      </w:r>
    </w:p>
    <w:p>
      <w:pPr>
        <w:pStyle w:val="ListParagraph"/>
        <w:numPr>
          <w:ilvl w:val="0"/>
          <w:numId w:val="4"/>
        </w:numPr>
        <w:spacing w:after="60"/>
      </w:pPr>
      <w:r>
        <w:t xml:space="preserve">Calibrate scoring to hit target outcome distributions (10% insolvent, 50%+ fined, etc.)</w:t>
      </w:r>
    </w:p>
    <w:p>
      <w:pPr>
        <w:pStyle w:val="ListParagraph"/>
        <w:numPr>
          <w:ilvl w:val="0"/>
          <w:numId w:val="4"/>
        </w:numPr>
        <w:spacing w:after="60"/>
      </w:pPr>
      <w:r>
        <w:t xml:space="preserve">Playtest extensively and adjust difficulty curves</w:t>
      </w:r>
    </w:p>
    <w:p>
      <w:pPr>
        <w:pStyle w:val="ListParagraph"/>
        <w:numPr>
          <w:ilvl w:val="0"/>
          <w:numId w:val="4"/>
        </w:numPr>
        <w:spacing w:after="60"/>
      </w:pPr>
      <w:r>
        <w:t xml:space="preserve">Generate all illustrations using AI image generation (Gemini, with ChatGPT/DALL-E as backup)</w:t>
      </w:r>
    </w:p>
    <w:p>
      <w:pPr>
        <w:pStyle w:val="ListParagraph"/>
        <w:numPr>
          <w:ilvl w:val="0"/>
          <w:numId w:val="4"/>
        </w:numPr>
        <w:spacing w:after="60"/>
      </w:pPr>
      <w:r>
        <w:t xml:space="preserve">Integrate illustrations into the frontend</w:t>
      </w:r>
    </w:p>
    <w:p>
      <w:pPr>
        <w:pStyle w:val="ListParagraph"/>
        <w:numPr>
          <w:ilvl w:val="0"/>
          <w:numId w:val="4"/>
        </w:numPr>
        <w:spacing w:after="60"/>
      </w:pPr>
      <w:r>
        <w:t xml:space="preserve">Write all tenure titles and their triggering conditions</w:t>
      </w:r>
    </w:p>
    <w:p>
      <w:pPr>
        <w:spacing w:after="120"/>
      </w:pPr>
      <w:r>
        <w:t xml:space="preserve"/>
      </w:r>
    </w:p>
    <w:p>
      <w:pPr>
        <w:pStyle w:val="Heading2"/>
      </w:pPr>
      <w:r>
        <w:t xml:space="preserve">Phase 5: Polish and Deploy (Day 7–8)</w:t>
      </w:r>
    </w:p>
    <w:p>
      <w:pPr>
        <w:pStyle w:val="ListParagraph"/>
        <w:numPr>
          <w:ilvl w:val="0"/>
          <w:numId w:val="5"/>
        </w:numPr>
        <w:spacing w:after="60"/>
      </w:pPr>
      <w:r>
        <w:t xml:space="preserve">Final playtesting on mobile devices</w:t>
      </w:r>
    </w:p>
    <w:p>
      <w:pPr>
        <w:pStyle w:val="ListParagraph"/>
        <w:numPr>
          <w:ilvl w:val="0"/>
          <w:numId w:val="5"/>
        </w:numPr>
        <w:spacing w:after="60"/>
      </w:pPr>
      <w:r>
        <w:t xml:space="preserve">Performance optimisation (image loading, API response times)</w:t>
      </w:r>
    </w:p>
    <w:p>
      <w:pPr>
        <w:pStyle w:val="ListParagraph"/>
        <w:numPr>
          <w:ilvl w:val="0"/>
          <w:numId w:val="5"/>
        </w:numPr>
        <w:spacing w:after="60"/>
      </w:pPr>
      <w:r>
        <w:t xml:space="preserve">Error handling and edge cases</w:t>
      </w:r>
    </w:p>
    <w:p>
      <w:pPr>
        <w:pStyle w:val="ListParagraph"/>
        <w:numPr>
          <w:ilvl w:val="0"/>
          <w:numId w:val="5"/>
        </w:numPr>
        <w:spacing w:after="60"/>
      </w:pPr>
      <w:r>
        <w:t xml:space="preserve">Deploy frontend to Vercel with custom domain if desired</w:t>
      </w:r>
    </w:p>
    <w:p>
      <w:pPr>
        <w:pStyle w:val="ListParagraph"/>
        <w:numPr>
          <w:ilvl w:val="0"/>
          <w:numId w:val="5"/>
        </w:numPr>
        <w:spacing w:after="60"/>
      </w:pPr>
      <w:r>
        <w:t xml:space="preserve">Deploy backend to Railway</w:t>
      </w:r>
    </w:p>
    <w:p>
      <w:pPr>
        <w:pStyle w:val="ListParagraph"/>
        <w:numPr>
          <w:ilvl w:val="0"/>
          <w:numId w:val="5"/>
        </w:numPr>
        <w:spacing w:after="60"/>
      </w:pPr>
      <w:r>
        <w:t xml:space="preserve">Test leaderboard and stats pages on a projector-friendly resolution</w:t>
      </w:r>
    </w:p>
    <w:p>
      <w:pPr>
        <w:pStyle w:val="ListParagraph"/>
        <w:numPr>
          <w:ilvl w:val="0"/>
          <w:numId w:val="5"/>
        </w:numPr>
        <w:spacing w:after="60"/>
      </w:pPr>
      <w:r>
        <w:t xml:space="preserve">Prepare backup plan (offline mode?) in case of WiFi issues at the venue</w:t>
      </w:r>
    </w:p>
    <w:p>
      <w:r>
        <w:br w:type="page"/>
      </w:r>
    </w:p>
    <w:p>
      <w:pPr>
        <w:pStyle w:val="Heading1"/>
      </w:pPr>
      <w:r>
        <w:t xml:space="preserve">14. Open Questions and Stretch Goals</w:t>
      </w:r>
    </w:p>
    <w:p>
      <w:pPr>
        <w:pStyle w:val="Heading2"/>
      </w:pPr>
      <w:r>
        <w:t xml:space="preserve">14.1 Open Questions</w:t>
      </w:r>
    </w:p>
    <w:p>
      <w:pPr>
        <w:pStyle w:val="ListParagraph"/>
        <w:numPr>
          <w:ilvl w:val="0"/>
          <w:numId w:val="6"/>
        </w:numPr>
        <w:spacing w:after="60"/>
      </w:pPr>
      <w:r>
        <w:t xml:space="preserve">Venue WiFi: is it reliable enough for a server-dependent game? Consider building an offline fallback where the full game state is managed client-side and synced to the server when connectivity is available.</w:t>
      </w:r>
    </w:p>
    <w:p>
      <w:pPr>
        <w:pStyle w:val="ListParagraph"/>
        <w:numPr>
          <w:ilvl w:val="0"/>
          <w:numId w:val="6"/>
        </w:numPr>
        <w:spacing w:after="60"/>
      </w:pPr>
      <w:r>
        <w:t xml:space="preserve">Game length: 10 scenarios at ~90 seconds each = ~15 minutes. Is this right for the away day format, or should we target shorter (8 scenarios) or longer (12)?</w:t>
      </w:r>
    </w:p>
    <w:p>
      <w:pPr>
        <w:pStyle w:val="ListParagraph"/>
        <w:numPr>
          <w:ilvl w:val="0"/>
          <w:numId w:val="6"/>
        </w:numPr>
        <w:spacing w:after="60"/>
      </w:pPr>
      <w:r>
        <w:t xml:space="preserve">Prize categories: which leaderboard dimensions should have prizes? Suggest: overall best, luckiest, unluckiest survivor, most profitable, best regulatory record.</w:t>
      </w:r>
    </w:p>
    <w:p>
      <w:pPr>
        <w:pStyle w:val="ListParagraph"/>
        <w:numPr>
          <w:ilvl w:val="0"/>
          <w:numId w:val="6"/>
        </w:numPr>
        <w:spacing w:after="60"/>
      </w:pPr>
      <w:r>
        <w:t xml:space="preserve">Sound effects: worth adding? A subtle notification sound for market shocks, a gentle ambient soundtrack? Or is this phones-on-silent territory?</w:t>
      </w:r>
    </w:p>
    <w:p>
      <w:pPr>
        <w:pStyle w:val="ListParagraph"/>
        <w:numPr>
          <w:ilvl w:val="0"/>
          <w:numId w:val="6"/>
        </w:numPr>
        <w:spacing w:after="60"/>
      </w:pPr>
      <w:r>
        <w:t xml:space="preserve">Multiplayer elements: beyond the leaderboard, is there value in showing live aggregate stats ("47% of CROs have approved the yield grab so far") during play? This requires a separate display screen.</w:t>
      </w:r>
    </w:p>
    <w:p>
      <w:pPr>
        <w:pStyle w:val="Heading2"/>
      </w:pPr>
      <w:r>
        <w:t xml:space="preserve">14.2 Stretch Goals</w:t>
      </w:r>
    </w:p>
    <w:p>
      <w:pPr>
        <w:pStyle w:val="ListParagraph"/>
        <w:numPr>
          <w:ilvl w:val="0"/>
          <w:numId w:val="7"/>
        </w:numPr>
        <w:spacing w:after="60"/>
      </w:pPr>
      <w:r>
        <w:t xml:space="preserve">Live presentation mode: a separate page designed for projection showing real-time aggregate stats as people play</w:t>
      </w:r>
    </w:p>
    <w:p>
      <w:pPr>
        <w:pStyle w:val="ListParagraph"/>
        <w:numPr>
          <w:ilvl w:val="0"/>
          <w:numId w:val="7"/>
        </w:numPr>
        <w:spacing w:after="60"/>
      </w:pPr>
      <w:r>
        <w:t xml:space="preserve">Replay mode: after finishing, players can see what would have happened with different choices (expensive to build but fascinating)</w:t>
      </w:r>
    </w:p>
    <w:p>
      <w:pPr>
        <w:pStyle w:val="ListParagraph"/>
        <w:numPr>
          <w:ilvl w:val="0"/>
          <w:numId w:val="7"/>
        </w:numPr>
        <w:spacing w:after="60"/>
      </w:pPr>
      <w:r>
        <w:t xml:space="preserve">"The Consensus CRO": automatically generate the story of a fictional CRO who made the most popular choice at every decision point</w:t>
      </w:r>
    </w:p>
    <w:p>
      <w:pPr>
        <w:pStyle w:val="ListParagraph"/>
        <w:numPr>
          <w:ilvl w:val="0"/>
          <w:numId w:val="7"/>
        </w:numPr>
        <w:spacing w:after="60"/>
      </w:pPr>
      <w:r>
        <w:t xml:space="preserve">QR code on a physical card at each person’s seat, linking directly to the game</w:t>
      </w:r>
    </w:p>
    <w:p>
      <w:pPr>
        <w:pStyle w:val="ListParagraph"/>
        <w:numPr>
          <w:ilvl w:val="0"/>
          <w:numId w:val="7"/>
        </w:numPr>
        <w:spacing w:after="60"/>
      </w:pPr>
      <w:r>
        <w:t xml:space="preserve">Post-game discussion prompts: for each scenario, show the real-world parallels and what actually happened (for use in facilitated discussion after the ice-breaker)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5"/>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4C7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D609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2026-03-16T22:51:40.497Z</dcterms:created>
  <dcterms:modified xsi:type="dcterms:W3CDTF">2026-03-16T22:51:40.498Z</dcterms:modified>
</cp:coreProperties>
</file>

<file path=docProps/custom.xml><?xml version="1.0" encoding="utf-8"?>
<Properties xmlns="http://schemas.openxmlformats.org/officeDocument/2006/custom-properties" xmlns:vt="http://schemas.openxmlformats.org/officeDocument/2006/docPropsVTypes"/>
</file>