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pageBreakBefore/>
        <w:jc w:val="center"/>
        <w:rPr>
          <w:rFonts w:ascii="Times New Roman" w:hAnsi="Times New Roman"/>
          <w:b/>
          <w:sz w:val="24"/>
          <w:szCs w:val="24"/>
        </w:rPr>
      </w:pPr>
      <w:r>
        <w:rPr>
          <w:rFonts w:ascii="Times New Roman" w:hAnsi="Times New Roman"/>
          <w:b/>
          <w:sz w:val="24"/>
          <w:szCs w:val="24"/>
        </w:rPr>
      </w:r>
    </w:p>
    <w:p>
      <w:pPr>
        <w:pStyle w:val="PreformattedText"/>
        <w:jc w:val="center"/>
        <w:rPr>
          <w:rFonts w:eastAsia="Droid Sans Fallback" w:cs="Liberation Mono" w:ascii="Times New Roman" w:hAnsi="Times New Roman"/>
          <w:b/>
          <w:color w:val="00000A"/>
          <w:sz w:val="24"/>
          <w:szCs w:val="24"/>
          <w:lang w:val="en-US" w:eastAsia="zh-CN" w:bidi="hi-IN"/>
        </w:rPr>
      </w:pPr>
      <w:r>
        <w:rPr>
          <w:rFonts w:eastAsia="Droid Sans Fallback" w:cs="Liberation Mono" w:ascii="Times New Roman" w:hAnsi="Times New Roman"/>
          <w:b/>
          <w:color w:val="00000A"/>
          <w:sz w:val="24"/>
          <w:szCs w:val="24"/>
          <w:lang w:val="en-US" w:eastAsia="zh-CN" w:bidi="hi-IN"/>
        </w:rPr>
        <w:t>AN OBSERVATION ERROR MODEL FOR NORTH ATLANTIC ALBACORE.</w:t>
      </w:r>
    </w:p>
    <w:p>
      <w:pPr>
        <w:pStyle w:val="PreformattedText"/>
        <w:jc w:val="center"/>
        <w:rPr>
          <w:spacing w:val="-2"/>
          <w:sz w:val="22"/>
          <w:szCs w:val="22"/>
        </w:rPr>
      </w:pPr>
      <w:r>
        <w:rPr>
          <w:spacing w:val="-2"/>
          <w:sz w:val="22"/>
          <w:szCs w:val="22"/>
        </w:rPr>
      </w:r>
    </w:p>
    <w:p>
      <w:pPr>
        <w:pStyle w:val="Normal"/>
        <w:tabs>
          <w:tab w:val="left" w:pos="9356" w:leader="none"/>
        </w:tabs>
        <w:ind w:left="0" w:right="-36" w:hanging="0"/>
        <w:jc w:val="center"/>
        <w:rPr>
          <w:rStyle w:val="DefaultParagraphFont"/>
          <w:spacing w:val="-2"/>
          <w:sz w:val="22"/>
          <w:szCs w:val="22"/>
        </w:rPr>
      </w:pPr>
      <w:r>
        <w:rPr>
          <w:rStyle w:val="DefaultParagraphFont"/>
          <w:spacing w:val="-2"/>
          <w:sz w:val="22"/>
          <w:szCs w:val="22"/>
        </w:rPr>
        <w:t>Laurence Kell</w:t>
      </w:r>
      <w:r>
        <w:rPr>
          <w:rStyle w:val="DefaultParagraphFont"/>
          <w:rStyle w:val="FootnoteAnchor"/>
          <w:spacing w:val="-2"/>
          <w:sz w:val="22"/>
          <w:szCs w:val="22"/>
        </w:rPr>
        <w:footnoteReference w:id="2"/>
      </w:r>
      <w:r>
        <w:rPr>
          <w:rStyle w:val="FootnoteCharacters"/>
          <w:spacing w:val="-2"/>
          <w:sz w:val="22"/>
          <w:szCs w:val="22"/>
        </w:rPr>
        <w:t>,</w:t>
      </w:r>
      <w:r>
        <w:rPr>
          <w:rStyle w:val="DefaultParagraphFont"/>
          <w:spacing w:val="-2"/>
          <w:sz w:val="22"/>
          <w:szCs w:val="22"/>
        </w:rPr>
        <w:t xml:space="preserve"> and </w:t>
      </w:r>
    </w:p>
    <w:p>
      <w:pPr>
        <w:pStyle w:val="Normal"/>
        <w:spacing w:lineRule="exact" w:line="220" w:before="11" w:after="0"/>
        <w:rPr/>
      </w:pPr>
      <w:r>
        <w:rPr/>
      </w:r>
    </w:p>
    <w:p>
      <w:pPr>
        <w:pStyle w:val="Normal"/>
        <w:spacing w:lineRule="exact" w:line="220" w:before="11" w:after="0"/>
        <w:rPr/>
      </w:pPr>
      <w:r>
        <w:rPr/>
      </w:r>
    </w:p>
    <w:p>
      <w:pPr>
        <w:pStyle w:val="Normal"/>
        <w:spacing w:lineRule="exact" w:line="200"/>
        <w:ind w:left="680" w:right="680" w:hanging="0"/>
        <w:jc w:val="center"/>
        <w:rPr>
          <w:i/>
          <w:sz w:val="20"/>
          <w:szCs w:val="20"/>
        </w:rPr>
      </w:pPr>
      <w:r>
        <w:rPr>
          <w:i/>
          <w:sz w:val="20"/>
          <w:szCs w:val="20"/>
        </w:rPr>
        <w:t>SUMMARY</w:t>
      </w:r>
    </w:p>
    <w:p>
      <w:pPr>
        <w:pStyle w:val="Normal"/>
        <w:ind w:left="680" w:right="680" w:hanging="0"/>
        <w:jc w:val="both"/>
        <w:rPr>
          <w:rFonts w:ascii="Times New Roman" w:hAnsi="Times New Roman"/>
          <w:i/>
          <w:sz w:val="22"/>
          <w:szCs w:val="22"/>
        </w:rPr>
      </w:pPr>
      <w:r>
        <w:rPr>
          <w:rFonts w:ascii="Times New Roman" w:hAnsi="Times New Roman"/>
          <w:i/>
          <w:sz w:val="22"/>
          <w:szCs w:val="22"/>
        </w:rPr>
      </w:r>
    </w:p>
    <w:p>
      <w:pPr>
        <w:pStyle w:val="Normal"/>
        <w:ind w:left="680" w:right="680" w:hanging="0"/>
        <w:jc w:val="both"/>
        <w:rPr>
          <w:rStyle w:val="DefaultParagraphFont"/>
          <w:rFonts w:ascii="Times New Roman" w:hAnsi="Times New Roman"/>
          <w:i/>
          <w:sz w:val="22"/>
          <w:szCs w:val="22"/>
        </w:rPr>
      </w:pPr>
      <w:r>
        <w:rPr>
          <w:rStyle w:val="DefaultParagraphFont"/>
          <w:rFonts w:ascii="Times New Roman" w:hAnsi="Times New Roman"/>
          <w:i/>
          <w:sz w:val="22"/>
          <w:szCs w:val="22"/>
        </w:rPr>
        <w:t>In this paper we describe the development of an O</w:t>
      </w:r>
      <w:r>
        <w:rPr>
          <w:rStyle w:val="DefaultParagraphFont"/>
          <w:rFonts w:ascii="Times New Roman" w:hAnsi="Times New Roman"/>
          <w:i/>
          <w:sz w:val="22"/>
          <w:szCs w:val="22"/>
        </w:rPr>
        <w:t xml:space="preserve">bservation </w:t>
      </w:r>
      <w:r>
        <w:rPr>
          <w:rStyle w:val="DefaultParagraphFont"/>
          <w:rFonts w:ascii="Times New Roman" w:hAnsi="Times New Roman"/>
          <w:i/>
          <w:sz w:val="22"/>
          <w:szCs w:val="22"/>
        </w:rPr>
        <w:t>E</w:t>
      </w:r>
      <w:r>
        <w:rPr>
          <w:rStyle w:val="DefaultParagraphFont"/>
          <w:rFonts w:ascii="Times New Roman" w:hAnsi="Times New Roman"/>
          <w:i/>
          <w:sz w:val="22"/>
          <w:szCs w:val="22"/>
        </w:rPr>
        <w:t>rror</w:t>
      </w:r>
      <w:r>
        <w:rPr>
          <w:rStyle w:val="DefaultParagraphFont"/>
          <w:rFonts w:ascii="Times New Roman" w:hAnsi="Times New Roman"/>
          <w:i/>
          <w:sz w:val="22"/>
          <w:szCs w:val="22"/>
        </w:rPr>
        <w:t xml:space="preserve"> for North Atlantic albacore. </w:t>
      </w:r>
      <w:r>
        <w:rPr>
          <w:rStyle w:val="DefaultParagraphFont"/>
          <w:rFonts w:ascii="Times New Roman" w:hAnsi="Times New Roman"/>
          <w:i/>
          <w:sz w:val="22"/>
          <w:szCs w:val="22"/>
        </w:rPr>
        <w:t>When conducting</w:t>
      </w:r>
      <w:r>
        <w:rPr>
          <w:rStyle w:val="DefaultParagraphFont"/>
          <w:rFonts w:ascii="Times New Roman" w:hAnsi="Times New Roman"/>
          <w:i/>
          <w:sz w:val="22"/>
          <w:szCs w:val="22"/>
        </w:rPr>
        <w:t xml:space="preserve"> Management Strategy Evaluation an Operating Model is used to simulate resource dynamics in simulation trials in order to evaluate the performance of a Management Procedure. Where the Management Procedure is the combination of pre-defined data, together with an algorithm to which such data are input to provide a value for a management control measure. To link the Operating Model and the Management Procedure it is necessary to develop an O</w:t>
      </w:r>
      <w:r>
        <w:rPr>
          <w:rStyle w:val="DefaultParagraphFont"/>
          <w:rFonts w:ascii="Times New Roman" w:hAnsi="Times New Roman"/>
          <w:i/>
          <w:sz w:val="22"/>
          <w:szCs w:val="22"/>
        </w:rPr>
        <w:t xml:space="preserve">bservation </w:t>
      </w:r>
      <w:r>
        <w:rPr>
          <w:rStyle w:val="DefaultParagraphFont"/>
          <w:rFonts w:ascii="Times New Roman" w:hAnsi="Times New Roman"/>
          <w:i/>
          <w:sz w:val="22"/>
          <w:szCs w:val="22"/>
        </w:rPr>
        <w:t>E</w:t>
      </w:r>
      <w:r>
        <w:rPr>
          <w:rStyle w:val="DefaultParagraphFont"/>
          <w:rFonts w:ascii="Times New Roman" w:hAnsi="Times New Roman"/>
          <w:i/>
          <w:sz w:val="22"/>
          <w:szCs w:val="22"/>
        </w:rPr>
        <w:t xml:space="preserve">rror </w:t>
      </w:r>
      <w:r>
        <w:rPr>
          <w:rStyle w:val="DefaultParagraphFont"/>
          <w:rFonts w:ascii="Times New Roman" w:hAnsi="Times New Roman"/>
          <w:i/>
          <w:sz w:val="22"/>
          <w:szCs w:val="22"/>
        </w:rPr>
        <w:t>M</w:t>
      </w:r>
      <w:r>
        <w:rPr>
          <w:rStyle w:val="DefaultParagraphFont"/>
          <w:rFonts w:ascii="Times New Roman" w:hAnsi="Times New Roman"/>
          <w:i/>
          <w:sz w:val="22"/>
          <w:szCs w:val="22"/>
        </w:rPr>
        <w:t>odel</w:t>
      </w:r>
      <w:r>
        <w:rPr>
          <w:rStyle w:val="DefaultParagraphFont"/>
          <w:rFonts w:ascii="Times New Roman" w:hAnsi="Times New Roman"/>
          <w:i/>
          <w:sz w:val="22"/>
          <w:szCs w:val="22"/>
        </w:rPr>
        <w:t xml:space="preserve"> to generate fishery-dependent or fishery-independent resource monitoring data. The O</w:t>
      </w:r>
      <w:r>
        <w:rPr>
          <w:rStyle w:val="DefaultParagraphFont"/>
          <w:rFonts w:ascii="Times New Roman" w:hAnsi="Times New Roman"/>
          <w:i/>
          <w:sz w:val="22"/>
          <w:szCs w:val="22"/>
        </w:rPr>
        <w:t xml:space="preserve">bservation </w:t>
      </w:r>
      <w:r>
        <w:rPr>
          <w:rStyle w:val="DefaultParagraphFont"/>
          <w:rFonts w:ascii="Times New Roman" w:hAnsi="Times New Roman"/>
          <w:i/>
          <w:sz w:val="22"/>
          <w:szCs w:val="22"/>
        </w:rPr>
        <w:t>E</w:t>
      </w:r>
      <w:r>
        <w:rPr>
          <w:rStyle w:val="DefaultParagraphFont"/>
          <w:rFonts w:ascii="Times New Roman" w:hAnsi="Times New Roman"/>
          <w:i/>
          <w:sz w:val="22"/>
          <w:szCs w:val="22"/>
        </w:rPr>
        <w:t>rror</w:t>
      </w:r>
      <w:r>
        <w:rPr>
          <w:rStyle w:val="DefaultParagraphFont"/>
          <w:rFonts w:ascii="Times New Roman" w:hAnsi="Times New Roman"/>
          <w:i/>
          <w:sz w:val="22"/>
          <w:szCs w:val="22"/>
        </w:rPr>
        <w:t xml:space="preserve"> reflects the uncertainties, between the actual dynamics of the resource and perceptions arising from observations and assumptions by modelling the differences between the measured value of a resource index and the actual value in the Operating Model. </w:t>
      </w:r>
    </w:p>
    <w:p>
      <w:pPr>
        <w:pStyle w:val="Normal"/>
        <w:ind w:left="680" w:right="680" w:hanging="0"/>
        <w:jc w:val="both"/>
        <w:rPr>
          <w:rFonts w:ascii="Times New Roman" w:hAnsi="Times New Roman"/>
          <w:i/>
          <w:sz w:val="22"/>
          <w:szCs w:val="22"/>
        </w:rPr>
      </w:pPr>
      <w:r>
        <w:rPr>
          <w:rFonts w:ascii="Times New Roman" w:hAnsi="Times New Roman"/>
          <w:i/>
          <w:sz w:val="22"/>
          <w:szCs w:val="22"/>
        </w:rPr>
      </w:r>
    </w:p>
    <w:p>
      <w:pPr>
        <w:pStyle w:val="Normal"/>
        <w:ind w:left="680" w:right="680" w:hanging="0"/>
        <w:jc w:val="center"/>
        <w:rPr>
          <w:rStyle w:val="DefaultParagraphFont"/>
          <w:i/>
          <w:sz w:val="20"/>
          <w:szCs w:val="20"/>
        </w:rPr>
      </w:pPr>
      <w:r>
        <w:rPr>
          <w:rStyle w:val="DefaultParagraphFont"/>
          <w:i/>
          <w:sz w:val="20"/>
          <w:szCs w:val="20"/>
        </w:rPr>
        <w:t>KEYWORDS</w:t>
      </w:r>
    </w:p>
    <w:p>
      <w:pPr>
        <w:sectPr>
          <w:headerReference w:type="default" r:id="rId2"/>
          <w:headerReference w:type="first" r:id="rId3"/>
          <w:footnotePr>
            <w:numFmt w:val="decimal"/>
          </w:footnotePr>
          <w:type w:val="nextPage"/>
          <w:pgSz w:w="11906" w:h="16838"/>
          <w:pgMar w:left="1418" w:right="1418" w:header="0" w:top="851" w:footer="0" w:bottom="1134" w:gutter="0"/>
          <w:pgNumType w:fmt="decimal"/>
          <w:formProt w:val="false"/>
          <w:titlePg/>
          <w:textDirection w:val="lrTb"/>
          <w:docGrid w:type="default" w:linePitch="240" w:charSpace="4294961151"/>
        </w:sectPr>
        <w:pStyle w:val="Normal"/>
        <w:ind w:left="680" w:right="680" w:hanging="0"/>
        <w:jc w:val="center"/>
        <w:rPr>
          <w:rStyle w:val="DefaultParagraphFont"/>
          <w:rFonts w:eastAsia="Droid Sans Fallback" w:cs="FreeSans" w:ascii="Times New Roman" w:hAnsi="Times New Roman"/>
          <w:i/>
          <w:color w:val="00000A"/>
          <w:spacing w:val="1"/>
          <w:sz w:val="22"/>
          <w:szCs w:val="22"/>
          <w:lang w:val="en-US" w:eastAsia="zh-CN" w:bidi="hi-IN"/>
        </w:rPr>
      </w:pPr>
      <w:r>
        <w:rPr>
          <w:rStyle w:val="DefaultParagraphFont"/>
          <w:rFonts w:eastAsia="Droid Sans Fallback" w:cs="FreeSans" w:ascii="Times New Roman" w:hAnsi="Times New Roman"/>
          <w:i/>
          <w:color w:val="00000A"/>
          <w:spacing w:val="1"/>
          <w:sz w:val="22"/>
          <w:szCs w:val="22"/>
          <w:lang w:val="en-US" w:eastAsia="zh-CN" w:bidi="hi-IN"/>
        </w:rPr>
        <w:t>Albacore, Observation Error Model, Operating Model, Management Strategy Evaluation, Measurement Error, Uncertainty</w:t>
      </w:r>
    </w:p>
    <w:p>
      <w:pPr>
        <w:pStyle w:val="Heading1"/>
        <w:pageBreakBefore/>
        <w:numPr>
          <w:ilvl w:val="0"/>
          <w:numId w:val="1"/>
        </w:numPr>
        <w:tabs>
          <w:tab w:val="left" w:pos="0" w:leader="none"/>
        </w:tabs>
        <w:ind w:left="0" w:right="0" w:hanging="0"/>
        <w:rPr>
          <w:rFonts w:ascii="Times New Roman" w:hAnsi="Times New Roman"/>
          <w:sz w:val="20"/>
          <w:szCs w:val="20"/>
        </w:rPr>
      </w:pPr>
      <w:r>
        <w:rPr>
          <w:rFonts w:ascii="Times New Roman" w:hAnsi="Times New Roman"/>
          <w:sz w:val="20"/>
          <w:szCs w:val="20"/>
        </w:rPr>
        <w:t>Introduction</w:t>
      </w:r>
    </w:p>
    <w:p>
      <w:pPr>
        <w:pStyle w:val="Normal"/>
        <w:jc w:val="both"/>
        <w:rPr>
          <w:rFonts w:ascii="Times New Roman" w:hAnsi="Times New Roman"/>
          <w:sz w:val="20"/>
          <w:szCs w:val="20"/>
        </w:rPr>
      </w:pPr>
      <w:r>
        <w:rPr>
          <w:rFonts w:ascii="Times New Roman" w:hAnsi="Times New Roman"/>
          <w:sz w:val="20"/>
          <w:szCs w:val="20"/>
        </w:rPr>
        <w:t>In Management Strategy Evaluation (MSE) an Operating Model (OM) is used to simulate resource dynamics in simulation trials in order to evaluate the performance of a Management Procedure (MP). Where the MP is the combination of pre-defined data, together with an algorithm to which such data are input to provide a value for a management control measure. To link the OM and the MP it is necessary to develop an Observation Error Model (OEM) to generate fishery-dependent or fishery-independent resource monitoring data. The OEM reflects the uncertainties, between the actual dynamics of the resource and perceptions arising from observations and assumptions by modelling the differences between the measured value of a resource index and the actual value in the OM. In this paper we describe the development of an OEM for North Atlantic albacore for use in MSE.</w:t>
      </w:r>
    </w:p>
    <w:p>
      <w:pPr>
        <w:pStyle w:val="Normal"/>
        <w:jc w:val="both"/>
        <w:rPr/>
      </w:pPr>
      <w:r>
        <w:rPr/>
      </w:r>
    </w:p>
    <w:p>
      <w:pPr>
        <w:pStyle w:val="Normal"/>
        <w:jc w:val="both"/>
        <w:rPr>
          <w:rFonts w:ascii="Times New Roman" w:hAnsi="Times New Roman"/>
          <w:sz w:val="20"/>
          <w:szCs w:val="20"/>
        </w:rPr>
      </w:pPr>
      <w:r>
        <w:rPr>
          <w:rFonts w:ascii="Times New Roman" w:hAnsi="Times New Roman"/>
          <w:sz w:val="20"/>
          <w:szCs w:val="20"/>
        </w:rPr>
        <w:t xml:space="preserve">The OM is based upon the </w:t>
      </w:r>
      <w:r>
        <w:rPr>
          <w:rFonts w:ascii="Times New Roman" w:hAnsi="Times New Roman"/>
          <w:sz w:val="20"/>
          <w:szCs w:val="20"/>
        </w:rPr>
        <w:t xml:space="preserve">Multifan-CL </w:t>
      </w:r>
      <w:r>
        <w:rPr>
          <w:rFonts w:ascii="Times New Roman" w:hAnsi="Times New Roman"/>
          <w:sz w:val="20"/>
          <w:szCs w:val="20"/>
        </w:rPr>
        <w:t xml:space="preserve">assessment conducted </w:t>
      </w:r>
      <w:r>
        <w:rPr>
          <w:rFonts w:ascii="Times New Roman" w:hAnsi="Times New Roman"/>
          <w:sz w:val="20"/>
          <w:szCs w:val="20"/>
        </w:rPr>
        <w:t xml:space="preserve">during the 2013 ICCAT North Atlantic Albacore </w:t>
      </w:r>
      <w:r>
        <w:rPr>
          <w:rFonts w:ascii="Times New Roman" w:hAnsi="Times New Roman"/>
          <w:sz w:val="20"/>
          <w:szCs w:val="20"/>
        </w:rPr>
        <w:t>a</w:t>
      </w:r>
      <w:r>
        <w:rPr>
          <w:rFonts w:ascii="Times New Roman" w:hAnsi="Times New Roman"/>
          <w:sz w:val="20"/>
          <w:szCs w:val="20"/>
        </w:rPr>
        <w:t xml:space="preserve">tock </w:t>
      </w:r>
      <w:r>
        <w:rPr>
          <w:rFonts w:ascii="Times New Roman" w:hAnsi="Times New Roman"/>
          <w:sz w:val="20"/>
          <w:szCs w:val="20"/>
        </w:rPr>
        <w:t>a</w:t>
      </w:r>
      <w:r>
        <w:rPr>
          <w:rFonts w:ascii="Times New Roman" w:hAnsi="Times New Roman"/>
          <w:sz w:val="20"/>
          <w:szCs w:val="20"/>
        </w:rPr>
        <w:t>ssessment (</w:t>
      </w:r>
      <w:r>
        <w:rPr>
          <w:rFonts w:ascii="Times New Roman" w:hAnsi="Times New Roman"/>
          <w:sz w:val="20"/>
          <w:szCs w:val="20"/>
        </w:rPr>
        <w:t>SCRS/2016/023</w:t>
      </w:r>
      <w:r>
        <w:rPr>
          <w:rFonts w:ascii="Times New Roman" w:hAnsi="Times New Roman"/>
          <w:sz w:val="20"/>
          <w:szCs w:val="20"/>
        </w:rPr>
        <w:t xml:space="preserve">).  </w:t>
      </w:r>
      <w:r>
        <w:rPr>
          <w:rFonts w:ascii="Times New Roman" w:hAnsi="Times New Roman"/>
          <w:sz w:val="20"/>
          <w:szCs w:val="20"/>
        </w:rPr>
        <w:t>We first summarise  the characteristics of the</w:t>
      </w:r>
      <w:r>
        <w:rPr>
          <w:rFonts w:ascii="Times New Roman" w:hAnsi="Times New Roman"/>
          <w:sz w:val="20"/>
          <w:szCs w:val="20"/>
        </w:rPr>
        <w:t xml:space="preserve"> </w:t>
      </w:r>
      <w:r>
        <w:rPr>
          <w:rFonts w:ascii="Times New Roman" w:hAnsi="Times New Roman"/>
          <w:sz w:val="20"/>
          <w:szCs w:val="20"/>
        </w:rPr>
        <w:t xml:space="preserve">CPUE series </w:t>
      </w:r>
      <w:r>
        <w:rPr>
          <w:rFonts w:ascii="Times New Roman" w:hAnsi="Times New Roman"/>
          <w:sz w:val="20"/>
          <w:szCs w:val="20"/>
        </w:rPr>
        <w:t>then provide example simulations under a variety of assumptions.</w:t>
      </w:r>
    </w:p>
    <w:p>
      <w:pPr>
        <w:pStyle w:val="TextBody"/>
        <w:spacing w:lineRule="auto" w:line="240" w:before="0" w:after="0"/>
        <w:jc w:val="both"/>
        <w:rPr>
          <w:b w:val="false"/>
          <w:bCs w:val="false"/>
          <w:i w:val="false"/>
          <w:iCs w:val="false"/>
        </w:rPr>
      </w:pPr>
      <w:r>
        <w:rPr>
          <w:b w:val="false"/>
          <w:bCs w:val="false"/>
          <w:i w:val="false"/>
          <w:iCs w:val="false"/>
        </w:rPr>
      </w:r>
    </w:p>
    <w:p>
      <w:pPr>
        <w:pStyle w:val="Normal"/>
        <w:jc w:val="both"/>
        <w:rPr>
          <w:rFonts w:ascii="Times New Roman" w:hAnsi="Times New Roman"/>
          <w:b/>
          <w:bCs/>
          <w:sz w:val="20"/>
          <w:szCs w:val="20"/>
        </w:rPr>
      </w:pPr>
      <w:r>
        <w:rPr>
          <w:rFonts w:ascii="Times New Roman" w:hAnsi="Times New Roman"/>
          <w:b/>
          <w:bCs/>
          <w:sz w:val="20"/>
          <w:szCs w:val="20"/>
        </w:rPr>
        <w:t>Operating Model</w:t>
      </w:r>
    </w:p>
    <w:p>
      <w:pPr>
        <w:pStyle w:val="Normal"/>
        <w:jc w:val="both"/>
        <w:rPr>
          <w:b/>
          <w:bCs/>
        </w:rPr>
      </w:pPr>
      <w:r>
        <w:rPr>
          <w:b/>
          <w:bCs/>
        </w:rPr>
      </w:r>
    </w:p>
    <w:p>
      <w:pPr>
        <w:pStyle w:val="Normal"/>
        <w:jc w:val="both"/>
        <w:rPr>
          <w:rFonts w:ascii="Times New Roman" w:hAnsi="Times New Roman"/>
          <w:sz w:val="20"/>
          <w:szCs w:val="20"/>
        </w:rPr>
      </w:pPr>
      <w:r>
        <w:rPr>
          <w:rFonts w:ascii="Times New Roman" w:hAnsi="Times New Roman"/>
          <w:sz w:val="20"/>
          <w:szCs w:val="20"/>
        </w:rPr>
        <w:t xml:space="preserve">Ten scenarios were considered when fitting </w:t>
      </w:r>
      <w:r>
        <w:rPr>
          <w:rFonts w:ascii="Times New Roman" w:hAnsi="Times New Roman"/>
          <w:sz w:val="20"/>
          <w:szCs w:val="20"/>
        </w:rPr>
        <w:t>Multifan-CL</w:t>
      </w:r>
      <w:r>
        <w:rPr>
          <w:rFonts w:ascii="Times New Roman" w:hAnsi="Times New Roman"/>
          <w:sz w:val="20"/>
          <w:szCs w:val="20"/>
        </w:rPr>
        <w:t xml:space="preserve">, </w:t>
      </w:r>
      <w:r>
        <w:rPr>
          <w:rFonts w:ascii="Times New Roman" w:hAnsi="Times New Roman"/>
          <w:sz w:val="20"/>
          <w:szCs w:val="20"/>
        </w:rPr>
        <w:t>t</w:t>
      </w:r>
      <w:r>
        <w:rPr>
          <w:rFonts w:ascii="Times New Roman" w:hAnsi="Times New Roman"/>
          <w:sz w:val="20"/>
          <w:szCs w:val="20"/>
        </w:rPr>
        <w:t xml:space="preserve">he scenarios are </w:t>
      </w:r>
      <w:r>
        <w:rPr>
          <w:rFonts w:ascii="Times New Roman" w:hAnsi="Times New Roman"/>
          <w:sz w:val="20"/>
          <w:szCs w:val="20"/>
        </w:rPr>
        <w:t xml:space="preserve">described and the results </w:t>
      </w:r>
      <w:r>
        <w:rPr>
          <w:rFonts w:ascii="Times New Roman" w:hAnsi="Times New Roman"/>
          <w:sz w:val="20"/>
          <w:szCs w:val="20"/>
        </w:rPr>
        <w:t>summarised in SCRS/2016/023.</w:t>
      </w:r>
    </w:p>
    <w:p>
      <w:pPr>
        <w:pStyle w:val="Normal"/>
        <w:jc w:val="both"/>
        <w:rPr/>
      </w:pPr>
      <w:r>
        <w:rPr/>
      </w:r>
    </w:p>
    <w:p>
      <w:pPr>
        <w:pStyle w:val="Normal"/>
        <w:jc w:val="both"/>
        <w:rPr>
          <w:rFonts w:ascii="Times New Roman" w:hAnsi="Times New Roman"/>
          <w:sz w:val="20"/>
          <w:szCs w:val="20"/>
        </w:rPr>
      </w:pPr>
      <w:r>
        <w:rPr>
          <w:rFonts w:ascii="Times New Roman" w:hAnsi="Times New Roman"/>
          <w:sz w:val="20"/>
          <w:szCs w:val="20"/>
        </w:rPr>
        <w:t xml:space="preserve">When fitting the albacore stock assessments commercial catch per unit effort (CPUE) is used as a proxy for relative abundance. The CPUE series (fleets) </w:t>
      </w:r>
      <w:r>
        <w:rPr>
          <w:rFonts w:ascii="Times New Roman" w:hAnsi="Times New Roman"/>
          <w:sz w:val="20"/>
          <w:szCs w:val="20"/>
        </w:rPr>
        <w:t xml:space="preserve">used in the Multifan-CL assessment </w:t>
      </w:r>
      <w:r>
        <w:rPr>
          <w:rFonts w:ascii="Times New Roman" w:hAnsi="Times New Roman"/>
          <w:sz w:val="20"/>
          <w:szCs w:val="20"/>
        </w:rPr>
        <w:t xml:space="preserve">are summarised in </w:t>
      </w:r>
      <w:r>
        <w:rPr>
          <w:rFonts w:ascii="Times New Roman" w:hAnsi="Times New Roman"/>
          <w:b/>
          <w:bCs/>
          <w:sz w:val="20"/>
          <w:szCs w:val="20"/>
        </w:rPr>
        <w:t xml:space="preserve">Table </w:t>
      </w:r>
      <w:r>
        <w:rPr>
          <w:rFonts w:ascii="Times New Roman" w:hAnsi="Times New Roman"/>
          <w:b/>
          <w:bCs/>
          <w:sz w:val="20"/>
          <w:szCs w:val="20"/>
        </w:rPr>
        <w:t>1</w:t>
      </w:r>
      <w:r>
        <w:rPr>
          <w:rFonts w:ascii="Times New Roman" w:hAnsi="Times New Roman"/>
          <w:sz w:val="20"/>
          <w:szCs w:val="20"/>
        </w:rPr>
        <w:t xml:space="preserve">. </w:t>
      </w:r>
    </w:p>
    <w:p>
      <w:pPr>
        <w:pStyle w:val="Normal"/>
        <w:jc w:val="both"/>
        <w:rPr/>
      </w:pPr>
      <w:r>
        <w:rPr/>
      </w:r>
    </w:p>
    <w:p>
      <w:pPr>
        <w:pStyle w:val="Normal"/>
        <w:jc w:val="both"/>
        <w:rPr>
          <w:rFonts w:ascii="Times New Roman" w:hAnsi="Times New Roman"/>
          <w:sz w:val="20"/>
          <w:szCs w:val="20"/>
        </w:rPr>
      </w:pPr>
      <w:r>
        <w:rPr>
          <w:rFonts w:ascii="Times New Roman" w:hAnsi="Times New Roman"/>
          <w:sz w:val="20"/>
          <w:szCs w:val="20"/>
        </w:rPr>
        <w:t>I</w:t>
      </w:r>
      <w:r>
        <w:rPr>
          <w:rFonts w:ascii="Times New Roman" w:hAnsi="Times New Roman"/>
          <w:sz w:val="20"/>
          <w:szCs w:val="20"/>
        </w:rPr>
        <w:t xml:space="preserve">t has long been recognised, </w:t>
      </w:r>
      <w:r>
        <w:rPr>
          <w:rFonts w:ascii="Times New Roman" w:hAnsi="Times New Roman"/>
          <w:sz w:val="20"/>
          <w:szCs w:val="20"/>
        </w:rPr>
        <w:t>however,</w:t>
      </w:r>
      <w:r>
        <w:rPr>
          <w:rFonts w:ascii="Times New Roman" w:hAnsi="Times New Roman"/>
          <w:sz w:val="20"/>
          <w:szCs w:val="20"/>
        </w:rPr>
        <w:t xml:space="preserve"> that time series </w:t>
      </w:r>
      <w:r>
        <w:rPr>
          <w:rFonts w:ascii="Times New Roman" w:hAnsi="Times New Roman"/>
          <w:sz w:val="20"/>
          <w:szCs w:val="20"/>
        </w:rPr>
        <w:t xml:space="preserve">of CPUE </w:t>
      </w:r>
      <w:r>
        <w:rPr>
          <w:rFonts w:ascii="Times New Roman" w:hAnsi="Times New Roman"/>
          <w:sz w:val="20"/>
          <w:szCs w:val="20"/>
        </w:rPr>
        <w:t xml:space="preserve">may not accurately reflect trends in population abundance (e.g. Beverton and Holt, 1993; Maunder et al., 2006; McKechnie et al., 2013; Polacheck, 2006). Particularly since changes </w:t>
      </w:r>
      <w:r>
        <w:rPr>
          <w:rFonts w:ascii="Times New Roman" w:hAnsi="Times New Roman"/>
          <w:sz w:val="20"/>
          <w:szCs w:val="20"/>
        </w:rPr>
        <w:t xml:space="preserve">can occur in </w:t>
      </w:r>
      <w:r>
        <w:rPr>
          <w:rFonts w:ascii="Times New Roman" w:hAnsi="Times New Roman"/>
          <w:sz w:val="20"/>
          <w:szCs w:val="20"/>
        </w:rPr>
        <w:t xml:space="preserve">in the spatial distribution of populations and the allocation of effort in response to management. </w:t>
      </w:r>
      <w:r>
        <w:rPr>
          <w:rFonts w:ascii="Times New Roman" w:hAnsi="Times New Roman"/>
          <w:sz w:val="20"/>
          <w:szCs w:val="20"/>
        </w:rPr>
        <w:t>In the latter case e</w:t>
      </w:r>
      <w:r>
        <w:rPr>
          <w:rFonts w:ascii="Times New Roman" w:hAnsi="Times New Roman"/>
          <w:sz w:val="20"/>
          <w:szCs w:val="20"/>
        </w:rPr>
        <w:t xml:space="preserve">conomic drivers can affect catch and effort independent of stock abundance (e.g. Paloheimo and Dickie, 1964; Tidd et al., 2011). </w:t>
      </w:r>
      <w:r>
        <w:rPr>
          <w:rFonts w:ascii="Times New Roman" w:hAnsi="Times New Roman"/>
          <w:sz w:val="20"/>
          <w:szCs w:val="20"/>
        </w:rPr>
        <w:t xml:space="preserve">Furthermore </w:t>
      </w:r>
      <w:r>
        <w:rPr>
          <w:rFonts w:ascii="Times New Roman" w:hAnsi="Times New Roman"/>
          <w:sz w:val="20"/>
          <w:szCs w:val="20"/>
        </w:rPr>
        <w:t>Interactions between changes in oceanographic conditions and exploitation can drive spati</w:t>
      </w:r>
      <w:r>
        <w:rPr>
          <w:rFonts w:ascii="Times New Roman" w:hAnsi="Times New Roman"/>
          <w:sz w:val="20"/>
          <w:szCs w:val="20"/>
        </w:rPr>
        <w:t>al</w:t>
      </w:r>
      <w:r>
        <w:rPr>
          <w:rFonts w:ascii="Times New Roman" w:hAnsi="Times New Roman"/>
          <w:sz w:val="20"/>
          <w:szCs w:val="20"/>
        </w:rPr>
        <w:t xml:space="preserve"> and temporal dynamics (Fromentin et al., 2013). </w:t>
      </w:r>
      <w:r>
        <w:rPr>
          <w:rFonts w:ascii="Times New Roman" w:hAnsi="Times New Roman"/>
          <w:sz w:val="20"/>
          <w:szCs w:val="20"/>
        </w:rPr>
        <w:t xml:space="preserve">Therefore </w:t>
      </w:r>
      <w:r>
        <w:rPr>
          <w:rFonts w:ascii="Times New Roman" w:hAnsi="Times New Roman"/>
          <w:sz w:val="20"/>
          <w:szCs w:val="20"/>
        </w:rPr>
        <w:t xml:space="preserve">CPUE </w:t>
      </w:r>
      <w:r>
        <w:rPr>
          <w:rFonts w:ascii="Times New Roman" w:hAnsi="Times New Roman"/>
          <w:sz w:val="20"/>
          <w:szCs w:val="20"/>
        </w:rPr>
        <w:t xml:space="preserve">may </w:t>
      </w:r>
      <w:r>
        <w:rPr>
          <w:rFonts w:ascii="Times New Roman" w:hAnsi="Times New Roman"/>
          <w:sz w:val="20"/>
          <w:szCs w:val="20"/>
        </w:rPr>
        <w:t xml:space="preserve">not </w:t>
      </w:r>
      <w:r>
        <w:rPr>
          <w:rFonts w:ascii="Times New Roman" w:hAnsi="Times New Roman"/>
          <w:sz w:val="20"/>
          <w:szCs w:val="20"/>
        </w:rPr>
        <w:t xml:space="preserve">be </w:t>
      </w:r>
      <w:r>
        <w:rPr>
          <w:rFonts w:ascii="Times New Roman" w:hAnsi="Times New Roman"/>
          <w:sz w:val="20"/>
          <w:szCs w:val="20"/>
        </w:rPr>
        <w:t xml:space="preserve">proportional to stock abundance (Hilborn et al., 1992). For example </w:t>
      </w:r>
      <w:r>
        <w:rPr>
          <w:rFonts w:ascii="Times New Roman" w:hAnsi="Times New Roman"/>
          <w:sz w:val="20"/>
          <w:szCs w:val="20"/>
        </w:rPr>
        <w:t xml:space="preserve">CPUE may be </w:t>
      </w:r>
      <w:r>
        <w:rPr>
          <w:rFonts w:ascii="Times New Roman" w:hAnsi="Times New Roman"/>
          <w:sz w:val="20"/>
          <w:szCs w:val="20"/>
        </w:rPr>
        <w:t>hyperstabl</w:t>
      </w:r>
      <w:r>
        <w:rPr>
          <w:rFonts w:ascii="Times New Roman" w:hAnsi="Times New Roman"/>
          <w:sz w:val="20"/>
          <w:szCs w:val="20"/>
        </w:rPr>
        <w:t>e</w:t>
      </w:r>
      <w:r>
        <w:rPr>
          <w:rFonts w:ascii="Times New Roman" w:hAnsi="Times New Roman"/>
          <w:sz w:val="20"/>
          <w:szCs w:val="20"/>
        </w:rPr>
        <w:t xml:space="preserve"> where catches remain high as a population declines (Erisman et al., 2011) </w:t>
      </w:r>
      <w:r>
        <w:rPr>
          <w:rFonts w:ascii="Times New Roman" w:hAnsi="Times New Roman"/>
          <w:sz w:val="20"/>
          <w:szCs w:val="20"/>
        </w:rPr>
        <w:t>or</w:t>
      </w:r>
      <w:r>
        <w:rPr>
          <w:rFonts w:ascii="Times New Roman" w:hAnsi="Times New Roman"/>
          <w:sz w:val="20"/>
          <w:szCs w:val="20"/>
        </w:rPr>
        <w:t xml:space="preserve"> hyperdepletion </w:t>
      </w:r>
      <w:r>
        <w:rPr>
          <w:rFonts w:ascii="Times New Roman" w:hAnsi="Times New Roman"/>
          <w:sz w:val="20"/>
          <w:szCs w:val="20"/>
        </w:rPr>
        <w:t xml:space="preserve">may occur </w:t>
      </w:r>
      <w:r>
        <w:rPr>
          <w:rFonts w:ascii="Times New Roman" w:hAnsi="Times New Roman"/>
          <w:sz w:val="20"/>
          <w:szCs w:val="20"/>
        </w:rPr>
        <w:t xml:space="preserve">where catches decline faster than the population. </w:t>
      </w:r>
    </w:p>
    <w:p>
      <w:pPr>
        <w:pStyle w:val="Normal"/>
        <w:jc w:val="both"/>
        <w:rPr>
          <w:rFonts w:ascii="Times New Roman" w:hAnsi="Times New Roman"/>
          <w:sz w:val="20"/>
          <w:szCs w:val="20"/>
        </w:rPr>
      </w:pPr>
      <w:r>
        <w:rPr>
          <w:rFonts w:ascii="Times New Roman" w:hAnsi="Times New Roman"/>
          <w:sz w:val="20"/>
          <w:szCs w:val="20"/>
        </w:rPr>
      </w:r>
    </w:p>
    <w:p>
      <w:pPr>
        <w:pStyle w:val="TextBody"/>
        <w:spacing w:lineRule="auto" w:line="240" w:before="0" w:after="0"/>
        <w:jc w:val="both"/>
        <w:rPr>
          <w:rFonts w:ascii="Times New Roman" w:hAnsi="Times New Roman"/>
          <w:b/>
          <w:bCs/>
          <w:i w:val="false"/>
          <w:iCs w:val="false"/>
          <w:sz w:val="20"/>
          <w:szCs w:val="20"/>
        </w:rPr>
      </w:pPr>
      <w:r>
        <w:rPr>
          <w:rFonts w:ascii="Times New Roman" w:hAnsi="Times New Roman"/>
          <w:b/>
          <w:bCs/>
          <w:i w:val="false"/>
          <w:iCs w:val="false"/>
          <w:sz w:val="20"/>
          <w:szCs w:val="20"/>
        </w:rPr>
        <w:t>CPUE Series</w:t>
      </w:r>
    </w:p>
    <w:p>
      <w:pPr>
        <w:pStyle w:val="TextBody"/>
        <w:spacing w:lineRule="auto" w:line="240" w:before="0" w:after="0"/>
        <w:jc w:val="both"/>
        <w:rPr/>
      </w:pPr>
      <w:r>
        <w:rPr/>
      </w:r>
    </w:p>
    <w:p>
      <w:pPr>
        <w:pStyle w:val="TextBody"/>
        <w:spacing w:lineRule="auto" w:line="240" w:before="0" w:after="0"/>
        <w:jc w:val="both"/>
        <w:rPr>
          <w:rFonts w:ascii="Times New Roman" w:hAnsi="Times New Roman"/>
          <w:b w:val="false"/>
          <w:bCs w:val="false"/>
          <w:i w:val="false"/>
          <w:iCs w:val="false"/>
          <w:sz w:val="20"/>
          <w:szCs w:val="20"/>
        </w:rPr>
      </w:pPr>
      <w:r>
        <w:rPr>
          <w:rFonts w:ascii="Times New Roman" w:hAnsi="Times New Roman"/>
          <w:b w:val="false"/>
          <w:bCs w:val="false"/>
          <w:i w:val="false"/>
          <w:iCs w:val="false"/>
          <w:sz w:val="20"/>
          <w:szCs w:val="20"/>
        </w:rPr>
        <w:t xml:space="preserve">First the selection patterns of the fleets and the error structure of the CPUEs are explored then, then simulations conducted to evaluate the bias and uncertainties for different assumptions. The selection patterns for the 10 CPUE series are plotted in </w:t>
      </w:r>
      <w:r>
        <w:rPr>
          <w:rFonts w:ascii="Times New Roman" w:hAnsi="Times New Roman"/>
          <w:b/>
          <w:bCs/>
          <w:i w:val="false"/>
          <w:iCs w:val="false"/>
          <w:sz w:val="20"/>
          <w:szCs w:val="20"/>
        </w:rPr>
        <w:t>Figure 1 and 2</w:t>
      </w:r>
      <w:r>
        <w:rPr>
          <w:rFonts w:ascii="Times New Roman" w:hAnsi="Times New Roman"/>
          <w:b w:val="false"/>
          <w:bCs w:val="false"/>
          <w:i w:val="false"/>
          <w:iCs w:val="false"/>
          <w:sz w:val="20"/>
          <w:szCs w:val="20"/>
        </w:rPr>
        <w:t xml:space="preserve">. The residuals are plotted to check the error model and to look for systematic patterns that may suggest that some assumptions are violated. In </w:t>
      </w:r>
      <w:r>
        <w:rPr>
          <w:rFonts w:ascii="Times New Roman" w:hAnsi="Times New Roman"/>
          <w:b/>
          <w:bCs/>
          <w:i w:val="false"/>
          <w:iCs w:val="false"/>
          <w:sz w:val="20"/>
          <w:szCs w:val="20"/>
        </w:rPr>
        <w:t>Figure 3</w:t>
      </w:r>
      <w:r>
        <w:rPr>
          <w:rFonts w:ascii="Times New Roman" w:hAnsi="Times New Roman"/>
          <w:b w:val="false"/>
          <w:bCs w:val="false"/>
          <w:i w:val="false"/>
          <w:iCs w:val="false"/>
          <w:sz w:val="20"/>
          <w:szCs w:val="20"/>
        </w:rPr>
        <w:t xml:space="preserve"> the residuals are plotted (on the log scale) against year to check to check for systematic patterns over time. The residuals are then plotted against the fitted values to check the variance function </w:t>
      </w:r>
      <w:r>
        <w:rPr>
          <w:rFonts w:ascii="Times New Roman" w:hAnsi="Times New Roman"/>
          <w:b/>
          <w:bCs/>
          <w:i w:val="false"/>
          <w:iCs w:val="false"/>
          <w:sz w:val="20"/>
          <w:szCs w:val="20"/>
        </w:rPr>
        <w:t>Figure 4</w:t>
      </w:r>
      <w:r>
        <w:rPr>
          <w:rFonts w:ascii="Times New Roman" w:hAnsi="Times New Roman"/>
          <w:b w:val="false"/>
          <w:bCs w:val="false"/>
          <w:i w:val="false"/>
          <w:iCs w:val="false"/>
          <w:sz w:val="20"/>
          <w:szCs w:val="20"/>
        </w:rPr>
        <w:t xml:space="preserve">. Next the plots residuals with 1 year lag to check for auto-correlation </w:t>
      </w:r>
      <w:r>
        <w:rPr>
          <w:rFonts w:ascii="Times New Roman" w:hAnsi="Times New Roman"/>
          <w:b/>
          <w:bCs/>
          <w:i w:val="false"/>
          <w:iCs w:val="false"/>
          <w:sz w:val="20"/>
          <w:szCs w:val="20"/>
        </w:rPr>
        <w:t>Figure 5</w:t>
      </w:r>
      <w:r>
        <w:rPr>
          <w:rFonts w:ascii="Times New Roman" w:hAnsi="Times New Roman"/>
          <w:b w:val="false"/>
          <w:bCs w:val="false"/>
          <w:i w:val="false"/>
          <w:iCs w:val="false"/>
          <w:sz w:val="20"/>
          <w:szCs w:val="20"/>
        </w:rPr>
        <w:t xml:space="preserve">, and quantile-quantile plots to check for that the error assumptions in </w:t>
      </w:r>
      <w:r>
        <w:rPr>
          <w:rFonts w:ascii="Times New Roman" w:hAnsi="Times New Roman"/>
          <w:b/>
          <w:bCs/>
          <w:i w:val="false"/>
          <w:iCs w:val="false"/>
          <w:sz w:val="20"/>
          <w:szCs w:val="20"/>
        </w:rPr>
        <w:t>Figure 6</w:t>
      </w:r>
      <w:r>
        <w:rPr>
          <w:rFonts w:ascii="Times New Roman" w:hAnsi="Times New Roman"/>
          <w:b w:val="false"/>
          <w:bCs w:val="false"/>
          <w:i w:val="false"/>
          <w:iCs w:val="false"/>
          <w:sz w:val="20"/>
          <w:szCs w:val="20"/>
        </w:rPr>
        <w:t>.</w:t>
      </w:r>
    </w:p>
    <w:p>
      <w:pPr>
        <w:pStyle w:val="TextBody"/>
        <w:spacing w:lineRule="auto" w:line="240" w:before="0" w:after="0"/>
        <w:jc w:val="both"/>
        <w:rPr>
          <w:b w:val="false"/>
          <w:bCs w:val="false"/>
          <w:i w:val="false"/>
          <w:iCs w:val="false"/>
        </w:rPr>
      </w:pPr>
      <w:r>
        <w:rPr>
          <w:b w:val="false"/>
          <w:bCs w:val="false"/>
          <w:i w:val="false"/>
          <w:iCs w:val="false"/>
        </w:rPr>
      </w:r>
    </w:p>
    <w:p>
      <w:pPr>
        <w:pStyle w:val="TextBody"/>
        <w:spacing w:lineRule="auto" w:line="240" w:before="0" w:after="0"/>
        <w:jc w:val="both"/>
        <w:rPr>
          <w:rFonts w:eastAsia="Droid Sans Fallback" w:cs="FreeSans" w:ascii="Times New Roman" w:hAnsi="Times New Roman"/>
          <w:b/>
          <w:bCs/>
          <w:i w:val="false"/>
          <w:iCs w:val="false"/>
          <w:color w:val="00000A"/>
          <w:sz w:val="20"/>
          <w:szCs w:val="20"/>
          <w:lang w:val="en-US" w:eastAsia="zh-CN" w:bidi="hi-IN"/>
        </w:rPr>
      </w:pPr>
      <w:r>
        <w:rPr>
          <w:rFonts w:eastAsia="Droid Sans Fallback" w:cs="FreeSans" w:ascii="Times New Roman" w:hAnsi="Times New Roman"/>
          <w:b/>
          <w:bCs/>
          <w:i w:val="false"/>
          <w:iCs w:val="false"/>
          <w:color w:val="00000A"/>
          <w:sz w:val="20"/>
          <w:szCs w:val="20"/>
          <w:lang w:val="en-US" w:eastAsia="zh-CN" w:bidi="hi-IN"/>
        </w:rPr>
        <w:t>Simulations</w:t>
      </w:r>
    </w:p>
    <w:p>
      <w:pPr>
        <w:pStyle w:val="TextBody"/>
        <w:spacing w:lineRule="auto" w:line="240" w:before="0" w:after="0"/>
        <w:jc w:val="both"/>
        <w:rPr>
          <w:b w:val="false"/>
          <w:bCs w:val="false"/>
          <w:i w:val="false"/>
          <w:iCs w:val="false"/>
        </w:rPr>
      </w:pPr>
      <w:r>
        <w:rPr>
          <w:b w:val="false"/>
          <w:bCs w:val="false"/>
          <w:i w:val="false"/>
          <w:iCs w:val="false"/>
        </w:rPr>
      </w:r>
    </w:p>
    <w:p>
      <w:pPr>
        <w:pStyle w:val="TextBody"/>
        <w:spacing w:lineRule="auto" w:line="240" w:before="0" w:after="0"/>
        <w:jc w:val="both"/>
        <w:rPr>
          <w:rFonts w:ascii="Times New Roman" w:hAnsi="Times New Roman"/>
          <w:b w:val="false"/>
          <w:bCs w:val="false"/>
          <w:i w:val="false"/>
          <w:iCs w:val="false"/>
          <w:sz w:val="20"/>
          <w:szCs w:val="20"/>
        </w:rPr>
      </w:pPr>
      <w:r>
        <w:rPr>
          <w:rFonts w:ascii="Times New Roman" w:hAnsi="Times New Roman"/>
          <w:b w:val="false"/>
          <w:bCs w:val="false"/>
          <w:i w:val="false"/>
          <w:iCs w:val="false"/>
          <w:sz w:val="20"/>
          <w:szCs w:val="20"/>
        </w:rPr>
        <w:t>Eight simulations were conducted corresponding to different assumptions about the potential error structure and biases in the CPUE series, the index was based on biomass in all but one case, a lognormal error with a CV of 30%. The index is simulated using the Multifan-CL Base Case estimates of numbers-at-age (SCRS/2016/013).</w:t>
      </w:r>
    </w:p>
    <w:p>
      <w:pPr>
        <w:pStyle w:val="TextBody"/>
        <w:spacing w:lineRule="auto" w:line="240" w:before="0" w:after="0"/>
        <w:jc w:val="both"/>
        <w:rPr>
          <w:b w:val="false"/>
          <w:bCs w:val="false"/>
          <w:i w:val="false"/>
          <w:iCs w:val="false"/>
        </w:rPr>
      </w:pPr>
      <w:r>
        <w:rPr>
          <w:b w:val="false"/>
          <w:bCs w:val="false"/>
          <w:i w:val="false"/>
          <w:iCs w:val="false"/>
        </w:rPr>
      </w:r>
    </w:p>
    <w:p>
      <w:pPr>
        <w:pStyle w:val="TextBody"/>
        <w:spacing w:lineRule="auto" w:line="240" w:before="0" w:after="0"/>
        <w:jc w:val="both"/>
        <w:rPr/>
      </w:pPr>
      <w:r>
        <w:rPr/>
      </w:r>
    </w:p>
    <w:p>
      <w:pPr>
        <w:pStyle w:val="TextBody"/>
        <w:pageBreakBefore/>
        <w:spacing w:lineRule="auto" w:line="240" w:before="0" w:after="0"/>
        <w:jc w:val="both"/>
        <w:rPr>
          <w:rFonts w:eastAsia="Droid Sans Fallback" w:cs="FreeSans" w:ascii="Times New Roman" w:hAnsi="Times New Roman"/>
          <w:b/>
          <w:bCs/>
          <w:i w:val="false"/>
          <w:iCs w:val="false"/>
          <w:color w:val="00000A"/>
          <w:sz w:val="20"/>
          <w:szCs w:val="20"/>
          <w:lang w:val="en-US" w:eastAsia="zh-CN" w:bidi="hi-IN"/>
        </w:rPr>
      </w:pPr>
      <w:r>
        <w:rPr>
          <w:rFonts w:eastAsia="Droid Sans Fallback" w:cs="FreeSans" w:ascii="Times New Roman" w:hAnsi="Times New Roman"/>
          <w:b/>
          <w:bCs/>
          <w:i w:val="false"/>
          <w:iCs w:val="false"/>
          <w:color w:val="00000A"/>
          <w:sz w:val="20"/>
          <w:szCs w:val="20"/>
          <w:lang w:val="en-US" w:eastAsia="zh-CN" w:bidi="hi-IN"/>
        </w:rPr>
      </w:r>
    </w:p>
    <w:p>
      <w:pPr>
        <w:pStyle w:val="TextBody"/>
        <w:spacing w:lineRule="auto" w:line="240" w:before="0" w:after="0"/>
        <w:jc w:val="both"/>
        <w:rPr/>
      </w:pPr>
      <w:r>
        <w:rPr/>
      </w:r>
    </w:p>
    <w:p>
      <w:pPr>
        <w:pStyle w:val="TextBody"/>
        <w:spacing w:lineRule="auto" w:line="240" w:before="0" w:after="0"/>
        <w:jc w:val="both"/>
        <w:rPr>
          <w:rFonts w:ascii="Times New Roman" w:hAnsi="Times New Roman"/>
          <w:b w:val="false"/>
          <w:bCs w:val="false"/>
          <w:i w:val="false"/>
          <w:iCs w:val="false"/>
          <w:sz w:val="20"/>
          <w:szCs w:val="20"/>
        </w:rPr>
      </w:pPr>
      <w:r>
        <w:rPr>
          <w:rFonts w:ascii="Times New Roman" w:hAnsi="Times New Roman"/>
          <w:b w:val="false"/>
          <w:bCs w:val="false"/>
          <w:i w:val="false"/>
          <w:iCs w:val="false"/>
          <w:sz w:val="20"/>
          <w:szCs w:val="20"/>
        </w:rPr>
        <w:t>The simulations were i) unbiased, ii) hyperstability, iii) trend in catchability, iv) auto-correlation, v) a decrease in variance with time, vi) an index based on juvenile age-classes, vii) index based on mature age-classes, and viii) index based on numbers. The simulated CPUE series are shown in Figure 7, the ribbons show the 50th and 80th percentiles. Two individual simulations are also shown (red and cyan), the blue line an unbiased index and the black line the median of the simulated series. The unbiased index captures the stock trends although individual  CPUE series show a wide variation. The same random deviates were used for for all simulated series and therefore in all cases, but for auto-correlation, the peaks of the indices coincide. For a trend in catchability and hyperstability the trend in the index underestimates the true decline. For a decrease in variance no bias was seen. The scenario based on a juvenile index showed more variability, due to the effect of year class strength, using an index based on the mature biomass alone or numbers provided results similar to the unbiased index with slightly more variation.</w:t>
      </w:r>
    </w:p>
    <w:p>
      <w:pPr>
        <w:pStyle w:val="TextBody"/>
        <w:spacing w:lineRule="auto" w:line="240" w:before="0" w:after="0"/>
        <w:jc w:val="both"/>
        <w:rPr>
          <w:b w:val="false"/>
          <w:bCs w:val="false"/>
          <w:i w:val="false"/>
          <w:iCs w:val="false"/>
        </w:rPr>
      </w:pPr>
      <w:r>
        <w:rPr>
          <w:b w:val="false"/>
          <w:bCs w:val="false"/>
          <w:i w:val="false"/>
          <w:iCs w:val="false"/>
        </w:rPr>
      </w:r>
    </w:p>
    <w:p>
      <w:pPr>
        <w:pStyle w:val="Normal"/>
        <w:jc w:val="both"/>
        <w:rPr>
          <w:sz w:val="20"/>
          <w:szCs w:val="20"/>
        </w:rPr>
      </w:pPr>
      <w:r>
        <w:rPr>
          <w:sz w:val="20"/>
          <w:szCs w:val="20"/>
        </w:rPr>
      </w:r>
    </w:p>
    <w:p>
      <w:pPr>
        <w:pStyle w:val="Normal"/>
        <w:jc w:val="both"/>
        <w:rPr>
          <w:rFonts w:ascii="Times New Roman" w:hAnsi="Times New Roman"/>
          <w:b/>
          <w:bCs/>
          <w:sz w:val="20"/>
          <w:szCs w:val="20"/>
        </w:rPr>
      </w:pPr>
      <w:r>
        <w:rPr>
          <w:rFonts w:ascii="Times New Roman" w:hAnsi="Times New Roman"/>
          <w:b/>
          <w:bCs/>
          <w:sz w:val="20"/>
          <w:szCs w:val="20"/>
        </w:rPr>
        <w:t>Summary</w:t>
      </w:r>
    </w:p>
    <w:p>
      <w:pPr>
        <w:pStyle w:val="Normal"/>
        <w:jc w:val="both"/>
        <w:rPr>
          <w:rFonts w:ascii="Times New Roman" w:hAnsi="Times New Roman"/>
          <w:b/>
          <w:bCs/>
          <w:sz w:val="20"/>
          <w:szCs w:val="20"/>
        </w:rPr>
      </w:pPr>
      <w:r>
        <w:rPr>
          <w:rFonts w:ascii="Times New Roman" w:hAnsi="Times New Roman"/>
          <w:b/>
          <w:bCs/>
          <w:sz w:val="20"/>
          <w:szCs w:val="20"/>
        </w:rPr>
      </w:r>
    </w:p>
    <w:p>
      <w:pPr>
        <w:pStyle w:val="Normal"/>
        <w:jc w:val="both"/>
        <w:rPr>
          <w:rStyle w:val="DefaultParagraphFont"/>
          <w:rFonts w:ascii="Times New Roman" w:hAnsi="Times New Roman"/>
          <w:sz w:val="20"/>
          <w:szCs w:val="20"/>
        </w:rPr>
      </w:pPr>
      <w:r>
        <w:rPr>
          <w:rStyle w:val="DefaultParagraphFont"/>
          <w:rFonts w:ascii="Times New Roman" w:hAnsi="Times New Roman"/>
          <w:sz w:val="20"/>
          <w:szCs w:val="20"/>
        </w:rPr>
        <w:t>The residual patterns in the fits of the CPUE series could be used to simulate alternative hypotheses about proesses that could affect catch and effort. The properties of the indices, e.g. ages selected, catchability, availbility or vulnerability could also be used simulated hypotheses about the processes to be implemented as scenarios in an MSE.</w:t>
      </w:r>
    </w:p>
    <w:p>
      <w:pPr>
        <w:pStyle w:val="Normal"/>
        <w:jc w:val="both"/>
        <w:rPr/>
      </w:pPr>
      <w:r>
        <w:rPr/>
      </w:r>
    </w:p>
    <w:p>
      <w:pPr>
        <w:pStyle w:val="Heading1"/>
        <w:numPr>
          <w:ilvl w:val="0"/>
          <w:numId w:val="1"/>
        </w:numPr>
        <w:tabs>
          <w:tab w:val="left" w:pos="0" w:leader="none"/>
        </w:tabs>
        <w:ind w:left="0" w:right="0" w:hanging="0"/>
        <w:jc w:val="both"/>
        <w:rPr>
          <w:rFonts w:ascii="Times New Roman" w:hAnsi="Times New Roman"/>
          <w:sz w:val="20"/>
          <w:szCs w:val="20"/>
        </w:rPr>
      </w:pPr>
      <w:r>
        <w:rPr>
          <w:rFonts w:ascii="Times New Roman" w:hAnsi="Times New Roman"/>
          <w:sz w:val="20"/>
          <w:szCs w:val="20"/>
        </w:rPr>
        <w:t>References</w:t>
      </w:r>
    </w:p>
    <w:p>
      <w:pPr>
        <w:pStyle w:val="TextBody"/>
        <w:spacing w:lineRule="auto" w:line="240" w:before="0" w:after="140"/>
        <w:ind w:left="284" w:right="0" w:hanging="284"/>
        <w:jc w:val="both"/>
        <w:rPr>
          <w:rStyle w:val="DefaultParagraphFont"/>
          <w:rFonts w:ascii="Times New Roman" w:hAnsi="Times New Roman"/>
          <w:sz w:val="20"/>
          <w:szCs w:val="20"/>
        </w:rPr>
      </w:pPr>
      <w:r>
        <w:rPr>
          <w:rFonts w:ascii="Times New Roman" w:hAnsi="Times New Roman"/>
          <w:sz w:val="20"/>
          <w:szCs w:val="20"/>
        </w:rPr>
        <w:t>Canty, A. J., Davison, A. C., Hinkley, D. V., and Ventura, V. (2006). Bootstrap diagnostics and remedies. Canadian Journal of Statistics, 34(1):5–27.</w:t>
      </w:r>
      <w:r>
        <w:rPr>
          <w:rStyle w:val="DefaultParagraphFont"/>
          <w:rFonts w:ascii="Times New Roman" w:hAnsi="Times New Roman"/>
          <w:sz w:val="20"/>
          <w:szCs w:val="20"/>
        </w:rPr>
        <w:t>jack-knife,</w:t>
      </w:r>
    </w:p>
    <w:p>
      <w:pPr>
        <w:pStyle w:val="TextBody"/>
        <w:spacing w:lineRule="auto" w:line="240" w:before="0" w:after="140"/>
        <w:ind w:left="284" w:right="0" w:hanging="284"/>
        <w:jc w:val="both"/>
        <w:rPr>
          <w:rStyle w:val="DefaultParagraphFont"/>
          <w:rFonts w:ascii="Times New Roman" w:hAnsi="Times New Roman"/>
          <w:sz w:val="20"/>
          <w:szCs w:val="20"/>
        </w:rPr>
      </w:pPr>
      <w:r>
        <w:rPr>
          <w:rStyle w:val="DefaultParagraphFont"/>
          <w:rFonts w:ascii="Times New Roman" w:hAnsi="Times New Roman"/>
          <w:sz w:val="20"/>
          <w:szCs w:val="20"/>
        </w:rPr>
        <w:t>R. Beverton and S. Holt. On the dynamics of exploited fish populations, volume 11. Springer, 1993.</w:t>
      </w:r>
    </w:p>
    <w:p>
      <w:pPr>
        <w:pStyle w:val="TextBody"/>
        <w:spacing w:lineRule="auto" w:line="240" w:before="0" w:after="140"/>
        <w:ind w:left="284" w:right="0" w:hanging="284"/>
        <w:jc w:val="both"/>
        <w:rPr>
          <w:rStyle w:val="DefaultParagraphFont"/>
          <w:rFonts w:ascii="Times New Roman" w:hAnsi="Times New Roman"/>
          <w:sz w:val="20"/>
          <w:szCs w:val="20"/>
        </w:rPr>
      </w:pPr>
      <w:r>
        <w:rPr>
          <w:rStyle w:val="DefaultParagraphFont"/>
          <w:rFonts w:ascii="Times New Roman" w:hAnsi="Times New Roman"/>
          <w:sz w:val="20"/>
          <w:szCs w:val="20"/>
        </w:rPr>
        <w:t>B. E. Erisman, L. G. Allen, J. T. Claisse, D. J. Pondella, E. F. Miller, J. H. Murray, and C. Walters. The illusion of plenty: hyperstability masks collapses in two recreational fisheries that target fish spawning aggregations. Canadian Journal of Fisheries and Aquatic Sciences, 68(10):1705–1716, 2011.</w:t>
      </w:r>
    </w:p>
    <w:p>
      <w:pPr>
        <w:pStyle w:val="TextBody"/>
        <w:spacing w:lineRule="auto" w:line="240" w:before="0" w:after="140"/>
        <w:ind w:left="284" w:right="0" w:hanging="284"/>
        <w:jc w:val="both"/>
        <w:rPr>
          <w:rStyle w:val="DefaultParagraphFont"/>
          <w:rFonts w:ascii="Times New Roman" w:hAnsi="Times New Roman"/>
          <w:sz w:val="20"/>
          <w:szCs w:val="20"/>
        </w:rPr>
      </w:pPr>
      <w:r>
        <w:rPr>
          <w:rStyle w:val="DefaultParagraphFont"/>
          <w:rFonts w:ascii="Times New Roman" w:hAnsi="Times New Roman"/>
          <w:sz w:val="20"/>
          <w:szCs w:val="20"/>
        </w:rPr>
        <w:t>J.-M. Fromentin, G. Reygondeau, S. Bonhommeau, and G. Beaugrand. Oceanographic changes and exploitation drive the spatio-temporal dynamics of atlantic bluefin tuna (thunnus thynnus). Fisheries Oceanography, 2013.</w:t>
      </w:r>
    </w:p>
    <w:p>
      <w:pPr>
        <w:pStyle w:val="TextBody"/>
        <w:spacing w:lineRule="auto" w:line="240" w:before="0" w:after="140"/>
        <w:ind w:left="284" w:right="0" w:hanging="284"/>
        <w:jc w:val="both"/>
        <w:rPr>
          <w:rStyle w:val="DefaultParagraphFont"/>
          <w:rFonts w:ascii="Times New Roman" w:hAnsi="Times New Roman"/>
          <w:sz w:val="20"/>
          <w:szCs w:val="20"/>
        </w:rPr>
      </w:pPr>
      <w:r>
        <w:rPr>
          <w:rStyle w:val="DefaultParagraphFont"/>
          <w:rFonts w:ascii="Times New Roman" w:hAnsi="Times New Roman"/>
          <w:sz w:val="20"/>
          <w:szCs w:val="20"/>
        </w:rPr>
        <w:t>R. Hilborn, C. J. Walters, et al. Quantitative fisheries stock assessment. choice, dynamics and uncertainty. Reviews in Fish Biology and Fisheries, 2(2):177–178, 1992.</w:t>
      </w:r>
    </w:p>
    <w:p>
      <w:pPr>
        <w:pStyle w:val="TextBody"/>
        <w:spacing w:lineRule="auto" w:line="240" w:before="0" w:after="140"/>
        <w:ind w:left="284" w:right="0" w:hanging="284"/>
        <w:jc w:val="both"/>
        <w:rPr>
          <w:rStyle w:val="DefaultParagraphFont"/>
          <w:rFonts w:ascii="Times New Roman" w:hAnsi="Times New Roman"/>
          <w:sz w:val="20"/>
          <w:szCs w:val="20"/>
        </w:rPr>
      </w:pPr>
      <w:r>
        <w:rPr>
          <w:rStyle w:val="DefaultParagraphFont"/>
          <w:rFonts w:ascii="Times New Roman" w:hAnsi="Times New Roman"/>
          <w:sz w:val="20"/>
          <w:szCs w:val="20"/>
        </w:rPr>
        <w:t>M. N. Maunder, J. R. Sibert, A. Fonteneau, J. Hampton, P. Kleiber, and S. J. Harley. Interpreting catch per unit effort data to assess the status of individual stocks and communities. ICES Journal of Marine Science: Journal du Conseil, 63(8):1373–1385, 2006.</w:t>
      </w:r>
    </w:p>
    <w:p>
      <w:pPr>
        <w:pStyle w:val="TextBody"/>
        <w:spacing w:lineRule="auto" w:line="240" w:before="0" w:after="140"/>
        <w:ind w:left="284" w:right="0" w:hanging="284"/>
        <w:jc w:val="both"/>
        <w:rPr>
          <w:rStyle w:val="DefaultParagraphFont"/>
          <w:rFonts w:ascii="Times New Roman" w:hAnsi="Times New Roman"/>
          <w:sz w:val="20"/>
          <w:szCs w:val="20"/>
        </w:rPr>
      </w:pPr>
      <w:r>
        <w:rPr>
          <w:rStyle w:val="DefaultParagraphFont"/>
          <w:rFonts w:ascii="Times New Roman" w:hAnsi="Times New Roman"/>
          <w:sz w:val="20"/>
          <w:szCs w:val="20"/>
        </w:rPr>
        <w:t>S. McKechnie, S. Hoyle, and S. Harley. Longline CPUE series that account for changes in the spatial extent of fisheries. Technical report, WCPFC-SC9-2013/SA-IP-05, 2013.</w:t>
      </w:r>
    </w:p>
    <w:p>
      <w:pPr>
        <w:pStyle w:val="TextBody"/>
        <w:spacing w:lineRule="auto" w:line="240" w:before="0" w:after="140"/>
        <w:ind w:left="284" w:right="0" w:hanging="284"/>
        <w:jc w:val="both"/>
        <w:rPr>
          <w:rStyle w:val="DefaultParagraphFont"/>
          <w:rFonts w:ascii="Times New Roman" w:hAnsi="Times New Roman"/>
          <w:sz w:val="20"/>
          <w:szCs w:val="20"/>
        </w:rPr>
      </w:pPr>
      <w:r>
        <w:rPr>
          <w:rStyle w:val="DefaultParagraphFont"/>
          <w:rFonts w:ascii="Times New Roman" w:hAnsi="Times New Roman"/>
          <w:sz w:val="20"/>
          <w:szCs w:val="20"/>
        </w:rPr>
        <w:t>J. Paloheimo and L. Dickie. Abundance and fishing success. Rapports et Proces-Verbaux des Runions du Conseil International pour lExploration de la Mer, 155, 1964.</w:t>
      </w:r>
    </w:p>
    <w:p>
      <w:pPr>
        <w:pStyle w:val="TextBody"/>
        <w:spacing w:lineRule="auto" w:line="240" w:before="0" w:after="140"/>
        <w:ind w:left="284" w:right="0" w:hanging="284"/>
        <w:jc w:val="both"/>
        <w:rPr>
          <w:rStyle w:val="DefaultParagraphFont"/>
          <w:rFonts w:ascii="Times New Roman" w:hAnsi="Times New Roman"/>
          <w:sz w:val="20"/>
          <w:szCs w:val="20"/>
        </w:rPr>
      </w:pPr>
      <w:r>
        <w:rPr>
          <w:rStyle w:val="DefaultParagraphFont"/>
          <w:rFonts w:ascii="Times New Roman" w:hAnsi="Times New Roman"/>
          <w:sz w:val="20"/>
          <w:szCs w:val="20"/>
        </w:rPr>
        <w:t>T. Polacheck. Tuna longline catch rates in the indian ocean: Did industrial fishing result in a 90% rapid decline in the abundance of large predatory species? Marine Policy, 30(5):470–482, 2006.</w:t>
      </w:r>
    </w:p>
    <w:p>
      <w:pPr>
        <w:pStyle w:val="TextBody"/>
        <w:spacing w:lineRule="auto" w:line="240" w:before="0" w:after="140"/>
        <w:ind w:left="284" w:right="0" w:hanging="284"/>
        <w:jc w:val="both"/>
        <w:rPr>
          <w:rStyle w:val="DefaultParagraphFont"/>
          <w:rFonts w:ascii="Times New Roman" w:hAnsi="Times New Roman"/>
          <w:sz w:val="20"/>
          <w:szCs w:val="20"/>
        </w:rPr>
      </w:pPr>
      <w:r>
        <w:rPr>
          <w:rStyle w:val="DefaultParagraphFont"/>
          <w:rFonts w:ascii="Times New Roman" w:hAnsi="Times New Roman"/>
          <w:sz w:val="20"/>
          <w:szCs w:val="20"/>
        </w:rPr>
        <w:t>A. N. Tidd, T. Hutton, L. Kell, and G. Padda. Exit and entry of fishing vessels: an evaluation of factors affecting investment decisions in the north sea english beam trawl fleet. ICES Journal of Marine Science: Journal du Conseil, 68(5):961–971, 2011.</w:t>
      </w:r>
    </w:p>
    <w:sectPr>
      <w:headerReference w:type="default" r:id="rId4"/>
      <w:footerReference w:type="default" r:id="rId5"/>
      <w:footnotePr>
        <w:numFmt w:val="decimal"/>
      </w:footnotePr>
      <w:type w:val="nextPage"/>
      <w:pgSz w:w="11906" w:h="16838"/>
      <w:pgMar w:left="1418" w:right="1418" w:header="0" w:top="851" w:footer="1134" w:bottom="1418"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Consolas">
    <w:charset w:val="01"/>
    <w:family w:val="roman"/>
    <w:pitch w:val="variable"/>
  </w:font>
  <w:font w:name="Segoe UI">
    <w:charset w:val="01"/>
    <w:family w:val="roman"/>
    <w:pitch w:val="variable"/>
  </w:font>
  <w:font w:name="OpenSymbol">
    <w:altName w:val="Arial Unicode MS"/>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rStyle w:val="DefaultParagraphFont"/>
          <w:sz w:val="16"/>
          <w:szCs w:val="16"/>
        </w:rPr>
      </w:pPr>
      <w:r>
        <w:rPr>
          <w:rStyle w:val="DefaultParagraphFont"/>
          <w:sz w:val="16"/>
          <w:szCs w:val="16"/>
          <w:lang w:val="es-ES"/>
        </w:rPr>
        <w:footnoteRef/>
        <w:tab/>
        <w:t xml:space="preserve"> </w:t>
      </w:r>
      <w:r>
        <w:rPr>
          <w:rStyle w:val="DefaultParagraphFont"/>
          <w:sz w:val="16"/>
          <w:szCs w:val="16"/>
          <w:lang w:val="es-ES"/>
        </w:rPr>
        <w:t xml:space="preserve">ICCAT Secretariat, C/Corazón de María, 8. </w:t>
      </w:r>
      <w:r>
        <w:rPr>
          <w:rStyle w:val="DefaultParagraphFont"/>
          <w:sz w:val="16"/>
          <w:szCs w:val="16"/>
        </w:rPr>
        <w:t>28002 Madrid, Spain; Laurie.Kell@iccat.int; Phone: +34 914 165 600  Fax: +34 914 152 612.</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LONormal"/>
      <w:widowControl/>
      <w:tabs>
        <w:tab w:val="right" w:pos="9072" w:leader="none"/>
      </w:tabs>
      <w:suppressAutoHyphens w:val="false"/>
      <w:spacing w:lineRule="auto" w:line="276"/>
      <w:textAlignment w:val="auto"/>
      <w:rPr>
        <w:rStyle w:val="DefaultParagraphFont"/>
        <w:rFonts w:eastAsia="Arial" w:cs="Arial" w:ascii="Arial" w:hAnsi="Arial"/>
        <w:color w:val="000000"/>
        <w:sz w:val="20"/>
        <w:szCs w:val="20"/>
        <w:lang w:val="es-ES" w:eastAsia="es-ES" w:bidi="ar-SA"/>
      </w:rPr>
    </w:pPr>
    <w:r>
      <w:rPr>
        <w:rStyle w:val="DefaultParagraphFont"/>
        <w:rFonts w:eastAsia="Arial" w:cs="Arial" w:ascii="Arial" w:hAnsi="Arial"/>
        <w:color w:val="000000"/>
        <w:sz w:val="20"/>
        <w:szCs w:val="20"/>
        <w:lang w:eastAsia="es-ES" w:bidi="ar-SA"/>
      </w:rPr>
      <w:t>SCRS/2016/024</w:t>
      <w:tab/>
      <w:t xml:space="preserve">Collect. Vol. Sci. Pap. </w:t>
    </w:r>
    <w:r>
      <w:rPr>
        <w:rStyle w:val="DefaultParagraphFont"/>
        <w:rFonts w:eastAsia="Arial" w:cs="Arial" w:ascii="Arial" w:hAnsi="Arial"/>
        <w:color w:val="000000"/>
        <w:sz w:val="20"/>
        <w:szCs w:val="20"/>
        <w:lang w:val="es-ES" w:eastAsia="es-ES" w:bidi="ar-SA"/>
      </w:rPr>
      <w:t>ICCAT, 73: (2017)</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LONormal"/>
      <w:widowControl/>
      <w:tabs>
        <w:tab w:val="right" w:pos="9072" w:leader="none"/>
      </w:tabs>
      <w:suppressAutoHyphens w:val="false"/>
      <w:spacing w:lineRule="auto" w:line="276"/>
      <w:textAlignment w:val="auto"/>
      <w:rPr>
        <w:rStyle w:val="DefaultParagraphFont"/>
        <w:rFonts w:eastAsia="Arial" w:cs="Arial" w:ascii="Arial" w:hAnsi="Arial"/>
        <w:color w:val="000000"/>
        <w:sz w:val="20"/>
        <w:szCs w:val="20"/>
        <w:lang w:val="es-ES" w:eastAsia="es-ES" w:bidi="ar-SA"/>
      </w:rPr>
    </w:pPr>
    <w:r>
      <w:rPr>
        <w:rStyle w:val="DefaultParagraphFont"/>
        <w:rFonts w:eastAsia="Arial" w:cs="Arial" w:ascii="Arial" w:hAnsi="Arial"/>
        <w:color w:val="000000"/>
        <w:sz w:val="20"/>
        <w:szCs w:val="20"/>
        <w:lang w:eastAsia="es-ES" w:bidi="ar-SA"/>
      </w:rPr>
      <w:t>SCRS/2016/024</w:t>
      <w:tab/>
      <w:t xml:space="preserve">Collect. Vol. Sci. Pap. </w:t>
    </w:r>
    <w:r>
      <w:rPr>
        <w:rStyle w:val="DefaultParagraphFont"/>
        <w:rFonts w:eastAsia="Arial" w:cs="Arial" w:ascii="Arial" w:hAnsi="Arial"/>
        <w:color w:val="000000"/>
        <w:sz w:val="20"/>
        <w:szCs w:val="20"/>
        <w:lang w:val="es-ES" w:eastAsia="es-ES" w:bidi="ar-SA"/>
      </w:rPr>
      <w:t>ICCAT, 73: (2017)</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LONormal"/>
      <w:widowControl/>
      <w:tabs>
        <w:tab w:val="right" w:pos="9072" w:leader="none"/>
      </w:tabs>
      <w:suppressAutoHyphens w:val="false"/>
      <w:spacing w:lineRule="auto" w:line="276"/>
      <w:textAlignment w:val="auto"/>
      <w:rPr>
        <w:rStyle w:val="DefaultParagraphFont"/>
        <w:rFonts w:eastAsia="Arial" w:cs="Arial" w:ascii="Arial" w:hAnsi="Arial"/>
        <w:color w:val="000000"/>
        <w:sz w:val="20"/>
        <w:szCs w:val="20"/>
        <w:lang w:val="es-ES" w:eastAsia="es-ES" w:bidi="ar-SA"/>
      </w:rPr>
    </w:pPr>
    <w:r>
      <w:rPr>
        <w:rStyle w:val="DefaultParagraphFont"/>
        <w:rFonts w:eastAsia="Arial" w:cs="Arial" w:ascii="Arial" w:hAnsi="Arial"/>
        <w:color w:val="000000"/>
        <w:sz w:val="20"/>
        <w:szCs w:val="20"/>
        <w:lang w:eastAsia="es-ES" w:bidi="ar-SA"/>
      </w:rPr>
      <w:t>SCRS/2016/073</w:t>
      <w:tab/>
      <w:t xml:space="preserve">Collect. Vol. Sci. Pap. </w:t>
    </w:r>
    <w:r>
      <w:rPr>
        <w:rStyle w:val="DefaultParagraphFont"/>
        <w:rFonts w:eastAsia="Arial" w:cs="Arial" w:ascii="Arial" w:hAnsi="Arial"/>
        <w:color w:val="000000"/>
        <w:sz w:val="20"/>
        <w:szCs w:val="20"/>
        <w:lang w:val="es-ES" w:eastAsia="es-ES" w:bidi="ar-SA"/>
      </w:rPr>
      <w:t>ICCAT, 73: (2016)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suppressAutoHyphens w:val="false"/>
        <w:textAlignment w:val="baseline"/>
      </w:pPr>
    </w:pPrDefault>
  </w:docDefaults>
  <w:style w:type="paragraph" w:styleId="Normal">
    <w:name w:val="Normal"/>
    <w:pPr>
      <w:widowControl w:val="false"/>
      <w:suppressAutoHyphens w:val="false"/>
      <w:bidi w:val="0"/>
      <w:jc w:val="left"/>
      <w:textAlignment w:val="baseline"/>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uppressAutoHyphens w:val="true"/>
      <w:outlineLvl w:val="0"/>
    </w:pPr>
    <w:rPr>
      <w:b/>
      <w:bCs/>
    </w:rPr>
  </w:style>
  <w:style w:type="paragraph" w:styleId="Heading2">
    <w:name w:val="Heading 2"/>
    <w:basedOn w:val="Heading"/>
    <w:pPr>
      <w:suppressAutoHyphens w:val="true"/>
      <w:spacing w:before="200" w:after="0"/>
      <w:outlineLvl w:val="1"/>
    </w:pPr>
    <w:rPr>
      <w:b/>
      <w:bCs/>
    </w:rPr>
  </w:style>
  <w:style w:type="paragraph" w:styleId="Heading3">
    <w:name w:val="Heading 3"/>
    <w:basedOn w:val="Heading"/>
    <w:pPr>
      <w:suppressAutoHyphens w:val="true"/>
      <w:spacing w:before="140" w:after="0"/>
      <w:outlineLvl w:val="2"/>
    </w:pPr>
    <w:rPr>
      <w:b/>
      <w:bCs/>
      <w:color w:val="808080"/>
    </w:rPr>
  </w:style>
  <w:style w:type="character" w:styleId="DefaultParagraphFont">
    <w:name w:val="Default Paragraph Font"/>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FootnoteCharacters">
    <w:name w:val="Footnote Characters"/>
    <w:rPr>
      <w:sz w:val="16"/>
    </w:rPr>
  </w:style>
  <w:style w:type="character" w:styleId="FootnoteAnchor">
    <w:name w:val="Footnote Anchor"/>
    <w:basedOn w:val="DefaultParagraphFont"/>
    <w:rPr>
      <w:sz w:val="16"/>
      <w:vertAlign w:val="superscript"/>
    </w:rPr>
  </w:style>
  <w:style w:type="character" w:styleId="BodyTextChar">
    <w:name w:val="Body Text Char"/>
    <w:basedOn w:val="DefaultParagraphFont"/>
    <w:rPr/>
  </w:style>
  <w:style w:type="character" w:styleId="VerbatimChar">
    <w:name w:val="Verbatim Char"/>
    <w:basedOn w:val="BodyTextChar"/>
    <w:rPr>
      <w:rFonts w:ascii="Consolas" w:hAnsi="Consolas" w:eastAsia="Consolas" w:cs="Consolas"/>
      <w:sz w:val="22"/>
    </w:rPr>
  </w:style>
  <w:style w:type="character" w:styleId="HeaderChar">
    <w:name w:val="Header Char"/>
    <w:basedOn w:val="DefaultParagraphFont"/>
    <w:rPr>
      <w:rFonts w:cs="Mangal"/>
      <w:szCs w:val="21"/>
    </w:rPr>
  </w:style>
  <w:style w:type="character" w:styleId="FooterChar">
    <w:name w:val="Footer Char"/>
    <w:basedOn w:val="DefaultParagraphFont"/>
    <w:rPr>
      <w:rFonts w:cs="Mangal"/>
      <w:szCs w:val="21"/>
    </w:rPr>
  </w:style>
  <w:style w:type="character" w:styleId="BalloonTextChar">
    <w:name w:val="Balloon Text Char"/>
    <w:basedOn w:val="DefaultParagraphFont"/>
    <w:rPr>
      <w:rFonts w:ascii="Segoe UI" w:hAnsi="Segoe UI" w:cs="Mangal"/>
      <w:sz w:val="18"/>
      <w:szCs w:val="16"/>
    </w:rPr>
  </w:style>
  <w:style w:type="character" w:styleId="WWCharLFO1LVL1">
    <w:name w:val="WW_CharLFO1LVL1"/>
    <w:rPr>
      <w:rFonts w:ascii="OpenSymbol" w:hAnsi="OpenSymbol" w:eastAsia="OpenSymbol" w:cs="OpenSymbol"/>
    </w:rPr>
  </w:style>
  <w:style w:type="character" w:styleId="WWCharLFO1LVL2">
    <w:name w:val="WW_CharLFO1LVL2"/>
    <w:rPr>
      <w:rFonts w:ascii="OpenSymbol" w:hAnsi="OpenSymbol" w:eastAsia="OpenSymbol" w:cs="OpenSymbol"/>
    </w:rPr>
  </w:style>
  <w:style w:type="character" w:styleId="WWCharLFO1LVL3">
    <w:name w:val="WW_CharLFO1LVL3"/>
    <w:rPr>
      <w:rFonts w:ascii="OpenSymbol" w:hAnsi="OpenSymbol" w:eastAsia="OpenSymbol" w:cs="OpenSymbol"/>
    </w:rPr>
  </w:style>
  <w:style w:type="character" w:styleId="WWCharLFO1LVL4">
    <w:name w:val="WW_CharLFO1LVL4"/>
    <w:rPr>
      <w:rFonts w:ascii="OpenSymbol" w:hAnsi="OpenSymbol" w:eastAsia="OpenSymbol" w:cs="OpenSymbol"/>
    </w:rPr>
  </w:style>
  <w:style w:type="character" w:styleId="WWCharLFO1LVL5">
    <w:name w:val="WW_CharLFO1LVL5"/>
    <w:rPr>
      <w:rFonts w:ascii="OpenSymbol" w:hAnsi="OpenSymbol" w:eastAsia="OpenSymbol" w:cs="OpenSymbol"/>
    </w:rPr>
  </w:style>
  <w:style w:type="character" w:styleId="WWCharLFO1LVL6">
    <w:name w:val="WW_CharLFO1LVL6"/>
    <w:rPr>
      <w:rFonts w:ascii="OpenSymbol" w:hAnsi="OpenSymbol" w:eastAsia="OpenSymbol" w:cs="OpenSymbol"/>
    </w:rPr>
  </w:style>
  <w:style w:type="character" w:styleId="WWCharLFO1LVL7">
    <w:name w:val="WW_CharLFO1LVL7"/>
    <w:rPr>
      <w:rFonts w:ascii="OpenSymbol" w:hAnsi="OpenSymbol" w:eastAsia="OpenSymbol" w:cs="OpenSymbol"/>
    </w:rPr>
  </w:style>
  <w:style w:type="character" w:styleId="WWCharLFO1LVL8">
    <w:name w:val="WW_CharLFO1LVL8"/>
    <w:rPr>
      <w:rFonts w:ascii="OpenSymbol" w:hAnsi="OpenSymbol" w:eastAsia="OpenSymbol" w:cs="OpenSymbol"/>
    </w:rPr>
  </w:style>
  <w:style w:type="character" w:styleId="WWCharLFO1LVL9">
    <w:name w:val="WW_CharLFO1LVL9"/>
    <w:rPr>
      <w:rFonts w:ascii="OpenSymbol" w:hAnsi="OpenSymbol" w:eastAsia="OpenSymbol" w:cs="OpenSymbol"/>
    </w:rPr>
  </w:style>
  <w:style w:type="character" w:styleId="WWCharLFO3LVL1">
    <w:name w:val="WW_CharLFO3LVL1"/>
    <w:rPr>
      <w:rFonts w:ascii="Symbol" w:hAnsi="Symbol"/>
    </w:rPr>
  </w:style>
  <w:style w:type="character" w:styleId="WWCharLFO3LVL2">
    <w:name w:val="WW_CharLFO3LVL2"/>
    <w:rPr>
      <w:rFonts w:ascii="Courier New" w:hAnsi="Courier New" w:cs="Courier New"/>
    </w:rPr>
  </w:style>
  <w:style w:type="character" w:styleId="WWCharLFO3LVL3">
    <w:name w:val="WW_CharLFO3LVL3"/>
    <w:rPr>
      <w:rFonts w:ascii="Wingdings" w:hAnsi="Wingdings"/>
    </w:rPr>
  </w:style>
  <w:style w:type="character" w:styleId="WWCharLFO3LVL4">
    <w:name w:val="WW_CharLFO3LVL4"/>
    <w:rPr>
      <w:rFonts w:ascii="Symbol" w:hAnsi="Symbol"/>
    </w:rPr>
  </w:style>
  <w:style w:type="character" w:styleId="WWCharLFO3LVL5">
    <w:name w:val="WW_CharLFO3LVL5"/>
    <w:rPr>
      <w:rFonts w:ascii="Courier New" w:hAnsi="Courier New" w:cs="Courier New"/>
    </w:rPr>
  </w:style>
  <w:style w:type="character" w:styleId="WWCharLFO3LVL6">
    <w:name w:val="WW_CharLFO3LVL6"/>
    <w:rPr>
      <w:rFonts w:ascii="Wingdings" w:hAnsi="Wingdings"/>
    </w:rPr>
  </w:style>
  <w:style w:type="character" w:styleId="WWCharLFO3LVL7">
    <w:name w:val="WW_CharLFO3LVL7"/>
    <w:rPr>
      <w:rFonts w:ascii="Symbol" w:hAnsi="Symbol"/>
    </w:rPr>
  </w:style>
  <w:style w:type="character" w:styleId="WWCharLFO3LVL8">
    <w:name w:val="WW_CharLFO3LVL8"/>
    <w:rPr>
      <w:rFonts w:ascii="Courier New" w:hAnsi="Courier New" w:cs="Courier New"/>
    </w:rPr>
  </w:style>
  <w:style w:type="character" w:styleId="WWCharLFO3LVL9">
    <w:name w:val="WW_CharLFO3LVL9"/>
    <w:rPr>
      <w:rFonts w:ascii="Wingdings" w:hAnsi="Wingdings"/>
    </w:rPr>
  </w:style>
  <w:style w:type="character" w:styleId="EndnoteAnchor">
    <w:name w:val="Endnote Anchor"/>
    <w:rPr>
      <w:vertAlign w:val="superscript"/>
    </w:rPr>
  </w:style>
  <w:style w:type="character" w:styleId="ListLabel1">
    <w:name w:val="ListLabel 1"/>
    <w:rPr>
      <w:rFonts w:cs="Symbol"/>
    </w:rPr>
  </w:style>
  <w:style w:type="character" w:styleId="ListLabel2">
    <w:name w:val="ListLabel 2"/>
    <w:rPr>
      <w:rFonts w:cs="Courier New"/>
    </w:rPr>
  </w:style>
  <w:style w:type="character" w:styleId="ListLabel3">
    <w:name w:val="ListLabel 3"/>
    <w:rPr>
      <w:rFonts w:cs="Wingdings"/>
    </w:rPr>
  </w:style>
  <w:style w:type="character" w:styleId="EndnoteCharacters">
    <w:name w:val="Endnote Characters"/>
    <w:rPr/>
  </w:style>
  <w:style w:type="paragraph" w:styleId="Heading">
    <w:name w:val="Heading"/>
    <w:basedOn w:val="Normal"/>
    <w:next w:val="TextBody"/>
    <w:pPr>
      <w:keepNext/>
      <w:suppressAutoHyphens w:val="true"/>
      <w:spacing w:before="240" w:after="120"/>
    </w:pPr>
    <w:rPr>
      <w:rFonts w:ascii="Liberation Sans" w:hAnsi="Liberation Sans" w:eastAsia="Droid Sans Fallback" w:cs="FreeSans"/>
      <w:sz w:val="28"/>
      <w:szCs w:val="28"/>
    </w:rPr>
  </w:style>
  <w:style w:type="paragraph" w:styleId="TextBody">
    <w:name w:val="Text Body"/>
    <w:basedOn w:val="Normal"/>
    <w:pPr>
      <w:suppressAutoHyphens w:val="true"/>
      <w:spacing w:lineRule="auto" w:line="288" w:before="0" w:after="140"/>
    </w:pPr>
    <w:rPr/>
  </w:style>
  <w:style w:type="paragraph" w:styleId="List">
    <w:name w:val="List"/>
    <w:basedOn w:val="TextBody"/>
    <w:pPr>
      <w:suppressAutoHyphens w:val="true"/>
    </w:pPr>
    <w:rPr>
      <w:rFonts w:cs="FreeSans"/>
    </w:rPr>
  </w:style>
  <w:style w:type="paragraph" w:styleId="Caption">
    <w:name w:val="Caption"/>
    <w:basedOn w:val="Normal"/>
    <w:pPr>
      <w:suppressLineNumbers/>
      <w:suppressAutoHyphens w:val="true"/>
      <w:spacing w:before="120" w:after="120"/>
    </w:pPr>
    <w:rPr>
      <w:rFonts w:cs="FreeSans"/>
      <w:i/>
      <w:iCs/>
      <w:sz w:val="24"/>
      <w:szCs w:val="24"/>
    </w:rPr>
  </w:style>
  <w:style w:type="paragraph" w:styleId="Index">
    <w:name w:val="Index"/>
    <w:basedOn w:val="Normal"/>
    <w:pPr>
      <w:suppressLineNumbers/>
      <w:suppressAutoHyphens w:val="true"/>
    </w:pPr>
    <w:rPr>
      <w:rFonts w:cs="FreeSans"/>
    </w:rPr>
  </w:style>
  <w:style w:type="paragraph" w:styleId="LONormal">
    <w:name w:val="LO-Normal"/>
    <w:pPr>
      <w:widowControl w:val="false"/>
      <w:pBdr>
        <w:top w:val="nil"/>
        <w:left w:val="nil"/>
        <w:bottom w:val="nil"/>
        <w:right w:val="nil"/>
      </w:pBdr>
      <w:suppressAutoHyphens w:val="false"/>
      <w:textAlignment w:val="baseline"/>
    </w:pPr>
    <w:rPr>
      <w:rFonts w:ascii="Liberation Serif" w:hAnsi="Liberation Serif" w:eastAsia="Droid Sans Fallback" w:cs="FreeSans"/>
      <w:i w:val="false"/>
      <w:iCs w:val="false"/>
      <w:caps w:val="false"/>
      <w:smallCaps w:val="false"/>
      <w:outline w:val="false"/>
      <w:emboss w:val="false"/>
      <w:imprint w:val="false"/>
      <w:color w:val="00000A"/>
      <w:spacing w:val="0"/>
      <w:w w:val="100"/>
      <w:position w:val="0"/>
      <w:sz w:val="24"/>
      <w:sz w:val="24"/>
      <w:szCs w:val="24"/>
      <w:shd w:fill="FFFFFF" w:val="clear"/>
      <w:vertAlign w:val="baseline"/>
      <w:em w:val="none"/>
      <w:lang w:val="en-US" w:eastAsia="zh-CN" w:bidi="hi-IN"/>
    </w:rPr>
  </w:style>
  <w:style w:type="paragraph" w:styleId="PreformattedText">
    <w:name w:val="Preformatted Text"/>
    <w:basedOn w:val="Normal"/>
    <w:pPr>
      <w:suppressAutoHyphens w:val="true"/>
    </w:pPr>
    <w:rPr>
      <w:rFonts w:ascii="Liberation Mono" w:hAnsi="Liberation Mono" w:cs="Liberation Mono"/>
      <w:sz w:val="20"/>
      <w:szCs w:val="20"/>
    </w:rPr>
  </w:style>
  <w:style w:type="paragraph" w:styleId="Quotations">
    <w:name w:val="Quotations"/>
    <w:basedOn w:val="Normal"/>
    <w:pPr>
      <w:suppressAutoHyphens w:val="true"/>
      <w:spacing w:before="0" w:after="283"/>
      <w:ind w:left="567" w:right="567" w:hanging="0"/>
    </w:pPr>
    <w:rPr/>
  </w:style>
  <w:style w:type="paragraph" w:styleId="Title">
    <w:name w:val="Title"/>
    <w:basedOn w:val="Heading"/>
    <w:pPr>
      <w:suppressAutoHyphens w:val="true"/>
      <w:jc w:val="center"/>
    </w:pPr>
    <w:rPr>
      <w:b/>
      <w:bCs/>
      <w:sz w:val="56"/>
      <w:szCs w:val="56"/>
    </w:rPr>
  </w:style>
  <w:style w:type="paragraph" w:styleId="Subtitle">
    <w:name w:val="Subtitle"/>
    <w:basedOn w:val="Heading"/>
    <w:pPr>
      <w:suppressAutoHyphens w:val="true"/>
      <w:spacing w:before="60" w:after="0"/>
      <w:jc w:val="center"/>
    </w:pPr>
    <w:rPr>
      <w:sz w:val="36"/>
      <w:szCs w:val="36"/>
    </w:rPr>
  </w:style>
  <w:style w:type="paragraph" w:styleId="Footnote">
    <w:name w:val="Footnote"/>
    <w:basedOn w:val="Normal"/>
    <w:pPr>
      <w:suppressLineNumbers/>
      <w:suppressAutoHyphens w:val="true"/>
      <w:ind w:left="339" w:right="0" w:hanging="339"/>
    </w:pPr>
    <w:rPr>
      <w:sz w:val="20"/>
      <w:szCs w:val="20"/>
    </w:rPr>
  </w:style>
  <w:style w:type="paragraph" w:styleId="NormalWeb">
    <w:name w:val="Normal (Web)"/>
    <w:basedOn w:val="Normal"/>
    <w:pPr>
      <w:suppressAutoHyphens w:val="true"/>
      <w:spacing w:before="280" w:after="280"/>
    </w:pPr>
    <w:rPr/>
  </w:style>
  <w:style w:type="paragraph" w:styleId="SourceCode">
    <w:name w:val="Source Code"/>
    <w:basedOn w:val="Normal"/>
    <w:pPr>
      <w:shd w:fill="F8F8F8" w:val="clear"/>
      <w:suppressAutoHyphens w:val="true"/>
    </w:pPr>
    <w:rPr/>
  </w:style>
  <w:style w:type="paragraph" w:styleId="Header">
    <w:name w:val="Header"/>
    <w:basedOn w:val="LONormal"/>
    <w:pPr>
      <w:tabs>
        <w:tab w:val="center" w:pos="4252" w:leader="none"/>
        <w:tab w:val="right" w:pos="8504" w:leader="none"/>
      </w:tabs>
      <w:suppressAutoHyphens w:val="true"/>
    </w:pPr>
    <w:rPr>
      <w:rFonts w:cs="Mangal"/>
      <w:szCs w:val="21"/>
    </w:rPr>
  </w:style>
  <w:style w:type="paragraph" w:styleId="Footer">
    <w:name w:val="Footer"/>
    <w:basedOn w:val="LONormal"/>
    <w:pPr>
      <w:tabs>
        <w:tab w:val="center" w:pos="4252" w:leader="none"/>
        <w:tab w:val="right" w:pos="8504" w:leader="none"/>
      </w:tabs>
      <w:suppressAutoHyphens w:val="true"/>
    </w:pPr>
    <w:rPr>
      <w:rFonts w:cs="Mangal"/>
      <w:szCs w:val="21"/>
    </w:rPr>
  </w:style>
  <w:style w:type="paragraph" w:styleId="BalloonText">
    <w:name w:val="Balloon Text"/>
    <w:basedOn w:val="LONormal"/>
    <w:pPr>
      <w:suppressAutoHyphens w:val="true"/>
    </w:pPr>
    <w:rPr>
      <w:rFonts w:ascii="Segoe UI" w:hAnsi="Segoe UI" w:cs="Mangal"/>
      <w:sz w:val="18"/>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2016-01-29T14:07:00Z</dcterms:created>
  <dc:creator>Rebecca Campoy</dc:creator>
  <dc:language>en-US</dc:language>
  <cp:lastModifiedBy>Laurie Kell</cp:lastModifiedBy>
  <cp:lastPrinted>2016-01-29T13:50:00Z</cp:lastPrinted>
  <dcterms:modified xsi:type="dcterms:W3CDTF">2016-01-29T14:07:00Z</dcterms:modified>
  <cp:revision>2</cp:revision>
</cp:coreProperties>
</file>