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pageBreakBefore/>
        <w:jc w:val="center"/>
        <w:rPr>
          <w:rFonts w:ascii="Times New Roman" w:hAnsi="Times New Roman"/>
          <w:b/>
          <w:sz w:val="24"/>
          <w:szCs w:val="24"/>
        </w:rPr>
      </w:pPr>
      <w:r>
        <w:rPr>
          <w:rFonts w:ascii="Times New Roman" w:hAnsi="Times New Roman"/>
          <w:b/>
          <w:sz w:val="24"/>
          <w:szCs w:val="24"/>
        </w:rPr>
        <w:t>CROSS TESTING OF A BIOMASS STOCK ASSESSMENT PROCEDURE</w:t>
      </w:r>
    </w:p>
    <w:p>
      <w:pPr>
        <w:pStyle w:val="Normal"/>
        <w:jc w:val="center"/>
        <w:rPr>
          <w:b/>
          <w:sz w:val="22"/>
          <w:szCs w:val="22"/>
        </w:rPr>
      </w:pPr>
      <w:r>
        <w:rPr>
          <w:b/>
          <w:sz w:val="22"/>
          <w:szCs w:val="22"/>
        </w:rPr>
      </w:r>
    </w:p>
    <w:p>
      <w:pPr>
        <w:pStyle w:val="Normal"/>
        <w:tabs>
          <w:tab w:val="left" w:pos="9356" w:leader="none"/>
        </w:tabs>
        <w:ind w:left="0" w:right="-36" w:hanging="0"/>
        <w:jc w:val="center"/>
        <w:rPr>
          <w:spacing w:val="-2"/>
          <w:sz w:val="22"/>
          <w:szCs w:val="22"/>
        </w:rPr>
      </w:pPr>
      <w:r>
        <w:rPr>
          <w:spacing w:val="-2"/>
          <w:sz w:val="22"/>
          <w:szCs w:val="22"/>
        </w:rPr>
      </w:r>
    </w:p>
    <w:p>
      <w:pPr>
        <w:pStyle w:val="Normal"/>
        <w:tabs>
          <w:tab w:val="left" w:pos="9356" w:leader="none"/>
        </w:tabs>
        <w:ind w:left="0" w:right="-36" w:hanging="0"/>
        <w:jc w:val="center"/>
        <w:rPr>
          <w:rStyle w:val="DefaultParagraphFont"/>
          <w:spacing w:val="-2"/>
          <w:sz w:val="22"/>
          <w:szCs w:val="22"/>
        </w:rPr>
      </w:pPr>
      <w:r>
        <w:rPr>
          <w:rStyle w:val="DefaultParagraphFont"/>
          <w:spacing w:val="-2"/>
          <w:sz w:val="22"/>
          <w:szCs w:val="22"/>
        </w:rPr>
        <w:t>Laurence Kell</w:t>
      </w:r>
      <w:r>
        <w:rPr>
          <w:rStyle w:val="DefaultParagraphFont"/>
          <w:rStyle w:val="FootnoteAnchor"/>
          <w:spacing w:val="-2"/>
          <w:sz w:val="22"/>
          <w:szCs w:val="22"/>
        </w:rPr>
        <w:footnoteReference w:id="2"/>
      </w:r>
      <w:r>
        <w:rPr>
          <w:rStyle w:val="FootnoteCharacters"/>
          <w:spacing w:val="-2"/>
          <w:sz w:val="22"/>
          <w:szCs w:val="22"/>
        </w:rPr>
        <w:t>,</w:t>
      </w:r>
      <w:r>
        <w:rPr>
          <w:rStyle w:val="DefaultParagraphFont"/>
          <w:spacing w:val="-2"/>
          <w:sz w:val="22"/>
          <w:szCs w:val="22"/>
        </w:rPr>
        <w:t xml:space="preserve"> and </w:t>
      </w:r>
    </w:p>
    <w:p>
      <w:pPr>
        <w:pStyle w:val="Normal"/>
        <w:spacing w:lineRule="exact" w:line="220" w:before="11" w:after="0"/>
        <w:rPr/>
      </w:pPr>
      <w:r>
        <w:rPr/>
      </w:r>
    </w:p>
    <w:p>
      <w:pPr>
        <w:pStyle w:val="Normal"/>
        <w:spacing w:lineRule="exact" w:line="220" w:before="11" w:after="0"/>
        <w:rPr/>
      </w:pPr>
      <w:r>
        <w:rPr/>
      </w:r>
    </w:p>
    <w:p>
      <w:pPr>
        <w:pStyle w:val="Normal"/>
        <w:spacing w:lineRule="exact" w:line="200"/>
        <w:ind w:left="680" w:right="680" w:hanging="0"/>
        <w:jc w:val="center"/>
        <w:rPr>
          <w:i/>
          <w:sz w:val="20"/>
          <w:szCs w:val="20"/>
        </w:rPr>
      </w:pPr>
      <w:r>
        <w:rPr>
          <w:i/>
          <w:sz w:val="20"/>
          <w:szCs w:val="20"/>
        </w:rPr>
        <w:t>SUMMARY</w:t>
      </w:r>
    </w:p>
    <w:p>
      <w:pPr>
        <w:pStyle w:val="Normal"/>
        <w:ind w:left="0" w:right="680" w:hanging="0"/>
        <w:jc w:val="both"/>
        <w:rPr/>
      </w:pPr>
      <w:r>
        <w:rPr/>
      </w:r>
    </w:p>
    <w:p>
      <w:pPr>
        <w:pStyle w:val="Normal"/>
        <w:ind w:left="0" w:right="680" w:hanging="0"/>
        <w:jc w:val="both"/>
        <w:rPr>
          <w:rStyle w:val="DefaultParagraphFont"/>
          <w:rFonts w:eastAsia="Droid Sans Fallback" w:cs="FreeSans" w:ascii="Times New Roman" w:hAnsi="Times New Roman"/>
          <w:i/>
          <w:color w:val="00000A"/>
          <w:sz w:val="22"/>
          <w:szCs w:val="22"/>
          <w:lang w:val="en-US" w:eastAsia="zh-CN" w:bidi="hi-IN"/>
        </w:rPr>
      </w:pPr>
      <w:r>
        <w:rPr>
          <w:rStyle w:val="DefaultParagraphFont"/>
          <w:rFonts w:eastAsia="Droid Sans Fallback" w:cs="FreeSans" w:ascii="Times New Roman" w:hAnsi="Times New Roman"/>
          <w:i/>
          <w:color w:val="00000A"/>
          <w:sz w:val="22"/>
          <w:szCs w:val="22"/>
          <w:lang w:val="en-US" w:eastAsia="zh-CN" w:bidi="hi-IN"/>
        </w:rPr>
        <w:t xml:space="preserve">A </w:t>
      </w:r>
      <w:r>
        <w:rPr>
          <w:rStyle w:val="DefaultParagraphFont"/>
          <w:rFonts w:eastAsia="Droid Sans Fallback" w:cs="FreeSans" w:ascii="Times New Roman" w:hAnsi="Times New Roman"/>
          <w:i/>
          <w:color w:val="00000A"/>
          <w:sz w:val="22"/>
          <w:szCs w:val="22"/>
          <w:lang w:val="en-US" w:eastAsia="zh-CN" w:bidi="hi-IN"/>
        </w:rPr>
        <w:t xml:space="preserve">cross-test of a biomass dynamic stock assessment procedure </w:t>
      </w:r>
      <w:r>
        <w:rPr>
          <w:rStyle w:val="DefaultParagraphFont"/>
          <w:rFonts w:eastAsia="Droid Sans Fallback" w:cs="FreeSans" w:ascii="Times New Roman" w:hAnsi="Times New Roman"/>
          <w:i/>
          <w:color w:val="00000A"/>
          <w:sz w:val="22"/>
          <w:szCs w:val="22"/>
          <w:lang w:val="en-US" w:eastAsia="zh-CN" w:bidi="hi-IN"/>
        </w:rPr>
        <w:t>is performed to evaluate the robustness of alternative fitting options</w:t>
      </w:r>
      <w:r>
        <w:rPr>
          <w:rStyle w:val="DefaultParagraphFont"/>
          <w:rFonts w:eastAsia="Droid Sans Fallback" w:cs="FreeSans" w:ascii="Times New Roman" w:hAnsi="Times New Roman"/>
          <w:i/>
          <w:color w:val="00000A"/>
          <w:sz w:val="22"/>
          <w:szCs w:val="22"/>
          <w:lang w:val="en-US" w:eastAsia="zh-CN" w:bidi="hi-IN"/>
        </w:rPr>
        <w:t>. In a cross tes</w:t>
      </w:r>
      <w:r>
        <w:rPr>
          <w:rStyle w:val="DefaultParagraphFont"/>
          <w:rFonts w:eastAsia="Droid Sans Fallback" w:cs="FreeSans" w:ascii="Times New Roman" w:hAnsi="Times New Roman"/>
          <w:i/>
          <w:color w:val="00000A"/>
          <w:sz w:val="22"/>
          <w:szCs w:val="22"/>
          <w:lang w:val="en-US" w:eastAsia="zh-CN" w:bidi="hi-IN"/>
        </w:rPr>
        <w:t>t</w:t>
      </w:r>
      <w:r>
        <w:rPr>
          <w:rStyle w:val="DefaultParagraphFont"/>
          <w:rFonts w:eastAsia="Droid Sans Fallback" w:cs="FreeSans" w:ascii="Times New Roman" w:hAnsi="Times New Roman"/>
          <w:i/>
          <w:color w:val="00000A"/>
          <w:sz w:val="22"/>
          <w:szCs w:val="22"/>
          <w:lang w:val="en-US" w:eastAsia="zh-CN" w:bidi="hi-IN"/>
        </w:rPr>
        <w:t xml:space="preserve"> data a model </w:t>
      </w:r>
      <w:r>
        <w:rPr>
          <w:rStyle w:val="DefaultParagraphFont"/>
          <w:rFonts w:eastAsia="Droid Sans Fallback" w:cs="FreeSans" w:ascii="Times New Roman" w:hAnsi="Times New Roman"/>
          <w:i/>
          <w:color w:val="00000A"/>
          <w:sz w:val="22"/>
          <w:szCs w:val="22"/>
          <w:lang w:val="en-US" w:eastAsia="zh-CN" w:bidi="hi-IN"/>
        </w:rPr>
        <w:t xml:space="preserve">is fitted to data </w:t>
      </w:r>
      <w:r>
        <w:rPr>
          <w:rStyle w:val="DefaultParagraphFont"/>
          <w:rFonts w:eastAsia="Droid Sans Fallback" w:cs="FreeSans" w:ascii="Times New Roman" w:hAnsi="Times New Roman"/>
          <w:i/>
          <w:color w:val="00000A"/>
          <w:sz w:val="22"/>
          <w:szCs w:val="22"/>
          <w:lang w:val="en-US" w:eastAsia="zh-CN" w:bidi="hi-IN"/>
        </w:rPr>
        <w:t xml:space="preserve">and then </w:t>
      </w:r>
      <w:r>
        <w:rPr>
          <w:rStyle w:val="DefaultParagraphFont"/>
          <w:rFonts w:eastAsia="Droid Sans Fallback" w:cs="FreeSans" w:ascii="Times New Roman" w:hAnsi="Times New Roman"/>
          <w:i/>
          <w:color w:val="00000A"/>
          <w:sz w:val="22"/>
          <w:szCs w:val="22"/>
          <w:lang w:val="en-US" w:eastAsia="zh-CN" w:bidi="hi-IN"/>
        </w:rPr>
        <w:t xml:space="preserve">the fit used to generate pseudo data </w:t>
      </w:r>
      <w:r>
        <w:rPr>
          <w:rStyle w:val="DefaultParagraphFont"/>
          <w:rFonts w:eastAsia="Droid Sans Fallback" w:cs="FreeSans" w:ascii="Times New Roman" w:hAnsi="Times New Roman"/>
          <w:i/>
          <w:color w:val="00000A"/>
          <w:sz w:val="22"/>
          <w:szCs w:val="22"/>
          <w:lang w:val="en-US" w:eastAsia="zh-CN" w:bidi="hi-IN"/>
        </w:rPr>
      </w:r>
      <w:r>
        <w:rPr>
          <w:rStyle w:val="DefaultParagraphFont"/>
          <w:rFonts w:eastAsia="Droid Sans Fallback" w:cs="FreeSans" w:ascii="Times New Roman" w:hAnsi="Times New Roman"/>
          <w:i/>
          <w:color w:val="00000A"/>
          <w:sz w:val="22"/>
          <w:szCs w:val="22"/>
          <w:lang w:val="en-US" w:eastAsia="zh-CN" w:bidi="hi-IN"/>
        </w:rPr>
        <w:t>that are used for fi</w:t>
      </w:r>
      <w:r>
        <w:rPr>
          <w:rStyle w:val="DefaultParagraphFont"/>
          <w:rFonts w:eastAsia="Droid Sans Fallback" w:cs="FreeSans" w:ascii="Times New Roman" w:hAnsi="Times New Roman"/>
          <w:i/>
          <w:color w:val="00000A"/>
          <w:sz w:val="22"/>
          <w:szCs w:val="22"/>
          <w:lang w:val="en-US" w:eastAsia="zh-CN" w:bidi="hi-IN"/>
        </w:rPr>
        <w:t>tt</w:t>
      </w:r>
      <w:r>
        <w:rPr>
          <w:rStyle w:val="DefaultParagraphFont"/>
          <w:rFonts w:eastAsia="Droid Sans Fallback" w:cs="FreeSans" w:ascii="Times New Roman" w:hAnsi="Times New Roman"/>
          <w:i/>
          <w:color w:val="00000A"/>
          <w:sz w:val="22"/>
          <w:szCs w:val="22"/>
          <w:lang w:val="en-US" w:eastAsia="zh-CN" w:bidi="hi-IN"/>
        </w:rPr>
        <w:t>ing</w:t>
      </w:r>
      <w:r>
        <w:rPr>
          <w:rStyle w:val="DefaultParagraphFont"/>
          <w:rFonts w:eastAsia="Droid Sans Fallback" w:cs="FreeSans" w:ascii="Times New Roman" w:hAnsi="Times New Roman"/>
          <w:i/>
          <w:color w:val="00000A"/>
          <w:sz w:val="22"/>
          <w:szCs w:val="22"/>
          <w:lang w:val="en-US" w:eastAsia="zh-CN" w:bidi="hi-IN"/>
        </w:rPr>
        <w:t xml:space="preserve"> a </w:t>
      </w:r>
      <w:r>
        <w:rPr>
          <w:rStyle w:val="DefaultParagraphFont"/>
          <w:rFonts w:eastAsia="Droid Sans Fallback" w:cs="FreeSans" w:ascii="Times New Roman" w:hAnsi="Times New Roman"/>
          <w:i/>
          <w:color w:val="00000A"/>
          <w:sz w:val="22"/>
          <w:szCs w:val="22"/>
          <w:lang w:val="en-US" w:eastAsia="zh-CN" w:bidi="hi-IN"/>
        </w:rPr>
        <w:t>different</w:t>
      </w:r>
      <w:r>
        <w:rPr>
          <w:rStyle w:val="DefaultParagraphFont"/>
          <w:rFonts w:eastAsia="Droid Sans Fallback" w:cs="FreeSans" w:ascii="Times New Roman" w:hAnsi="Times New Roman"/>
          <w:i/>
          <w:color w:val="00000A"/>
          <w:sz w:val="22"/>
          <w:szCs w:val="22"/>
          <w:lang w:val="en-US" w:eastAsia="zh-CN" w:bidi="hi-IN"/>
        </w:rPr>
        <w:t xml:space="preserve"> model. </w:t>
      </w:r>
      <w:r>
        <w:rPr>
          <w:rStyle w:val="DefaultParagraphFont"/>
          <w:rFonts w:eastAsia="Droid Sans Fallback" w:cs="FreeSans" w:ascii="Times New Roman" w:hAnsi="Times New Roman"/>
          <w:i/>
          <w:color w:val="00000A"/>
          <w:sz w:val="22"/>
          <w:szCs w:val="22"/>
          <w:lang w:val="en-US" w:eastAsia="zh-CN" w:bidi="hi-IN"/>
        </w:rPr>
        <w:t>T</w:t>
      </w:r>
      <w:r>
        <w:rPr>
          <w:rStyle w:val="DefaultParagraphFont"/>
          <w:rFonts w:eastAsia="Droid Sans Fallback" w:cs="FreeSans" w:ascii="Times New Roman" w:hAnsi="Times New Roman"/>
          <w:i/>
          <w:color w:val="00000A"/>
          <w:sz w:val="22"/>
          <w:szCs w:val="22"/>
          <w:lang w:val="en-US" w:eastAsia="zh-CN" w:bidi="hi-IN"/>
        </w:rPr>
        <w:t xml:space="preserve">he estimates </w:t>
      </w:r>
      <w:r>
        <w:rPr>
          <w:rStyle w:val="DefaultParagraphFont"/>
          <w:rFonts w:eastAsia="Droid Sans Fallback" w:cs="FreeSans" w:ascii="Times New Roman" w:hAnsi="Times New Roman"/>
          <w:i/>
          <w:color w:val="00000A"/>
          <w:sz w:val="22"/>
          <w:szCs w:val="22"/>
          <w:lang w:val="en-US" w:eastAsia="zh-CN" w:bidi="hi-IN"/>
        </w:rPr>
        <w:t xml:space="preserve">can </w:t>
      </w:r>
      <w:r>
        <w:rPr>
          <w:rStyle w:val="DefaultParagraphFont"/>
          <w:rFonts w:eastAsia="Droid Sans Fallback" w:cs="FreeSans" w:ascii="Times New Roman" w:hAnsi="Times New Roman"/>
          <w:i/>
          <w:color w:val="00000A"/>
          <w:sz w:val="22"/>
          <w:szCs w:val="22"/>
          <w:lang w:val="en-US" w:eastAsia="zh-CN" w:bidi="hi-IN"/>
        </w:rPr>
        <w:t xml:space="preserve"> </w:t>
      </w:r>
      <w:r>
        <w:rPr>
          <w:rStyle w:val="DefaultParagraphFont"/>
          <w:rFonts w:eastAsia="Droid Sans Fallback" w:cs="FreeSans" w:ascii="Times New Roman" w:hAnsi="Times New Roman"/>
          <w:i/>
          <w:color w:val="00000A"/>
          <w:sz w:val="22"/>
          <w:szCs w:val="22"/>
          <w:lang w:val="en-US" w:eastAsia="zh-CN" w:bidi="hi-IN"/>
        </w:rPr>
        <w:t xml:space="preserve">then be </w:t>
      </w:r>
      <w:r>
        <w:rPr>
          <w:rStyle w:val="DefaultParagraphFont"/>
          <w:rFonts w:eastAsia="Droid Sans Fallback" w:cs="FreeSans" w:ascii="Times New Roman" w:hAnsi="Times New Roman"/>
          <w:i/>
          <w:color w:val="00000A"/>
          <w:sz w:val="22"/>
          <w:szCs w:val="22"/>
          <w:lang w:val="en-US" w:eastAsia="zh-CN" w:bidi="hi-IN"/>
        </w:rPr>
        <w:t xml:space="preserve">compared </w:t>
      </w:r>
      <w:r>
        <w:rPr>
          <w:rStyle w:val="DefaultParagraphFont"/>
          <w:rFonts w:eastAsia="Droid Sans Fallback" w:cs="FreeSans" w:ascii="Times New Roman" w:hAnsi="Times New Roman"/>
          <w:i/>
          <w:color w:val="00000A"/>
          <w:sz w:val="22"/>
          <w:szCs w:val="22"/>
          <w:lang w:val="en-US" w:eastAsia="zh-CN" w:bidi="hi-IN"/>
        </w:rPr>
        <w:t>to identify bias</w:t>
      </w:r>
      <w:r>
        <w:rPr>
          <w:rStyle w:val="DefaultParagraphFont"/>
          <w:rFonts w:eastAsia="Droid Sans Fallback" w:cs="FreeSans" w:ascii="Times New Roman" w:hAnsi="Times New Roman"/>
          <w:i/>
          <w:color w:val="00000A"/>
          <w:sz w:val="22"/>
          <w:szCs w:val="22"/>
          <w:lang w:val="en-US" w:eastAsia="zh-CN" w:bidi="hi-IN"/>
        </w:rPr>
        <w:t>. To generate the data we use the North Atlantic albacore integrated assessment based on Multifan-CL.</w:t>
      </w:r>
    </w:p>
    <w:p>
      <w:pPr>
        <w:pStyle w:val="Normal"/>
        <w:ind w:left="680" w:right="680" w:hanging="0"/>
        <w:jc w:val="both"/>
        <w:rPr>
          <w:rStyle w:val="DefaultParagraphFont"/>
          <w:rFonts w:eastAsia="Droid Sans Fallback" w:cs="FreeSans" w:ascii="Times New Roman" w:hAnsi="Times New Roman"/>
          <w:i/>
          <w:color w:val="00000A"/>
          <w:sz w:val="22"/>
          <w:szCs w:val="22"/>
          <w:lang w:val="en-US" w:eastAsia="zh-CN" w:bidi="hi-IN"/>
        </w:rPr>
      </w:pPr>
      <w:r>
        <w:rPr>
          <w:rStyle w:val="DefaultParagraphFont"/>
          <w:rFonts w:eastAsia="Droid Sans Fallback" w:cs="FreeSans" w:ascii="Times New Roman" w:hAnsi="Times New Roman"/>
          <w:i/>
          <w:color w:val="00000A"/>
          <w:sz w:val="22"/>
          <w:szCs w:val="22"/>
          <w:lang w:val="en-US" w:eastAsia="zh-CN" w:bidi="hi-IN"/>
        </w:rPr>
        <w:t xml:space="preserve">. </w:t>
      </w:r>
    </w:p>
    <w:p>
      <w:pPr>
        <w:pStyle w:val="Normal"/>
        <w:ind w:left="680" w:right="680" w:hanging="0"/>
        <w:jc w:val="both"/>
        <w:rPr>
          <w:rFonts w:ascii="Times New Roman" w:hAnsi="Times New Roman"/>
          <w:i/>
          <w:sz w:val="22"/>
          <w:szCs w:val="22"/>
        </w:rPr>
      </w:pPr>
      <w:r>
        <w:rPr>
          <w:rFonts w:ascii="Times New Roman" w:hAnsi="Times New Roman"/>
          <w:i/>
          <w:sz w:val="22"/>
          <w:szCs w:val="22"/>
        </w:rPr>
      </w:r>
    </w:p>
    <w:p>
      <w:pPr>
        <w:pStyle w:val="Normal"/>
        <w:ind w:left="680" w:right="680" w:hanging="0"/>
        <w:jc w:val="center"/>
        <w:rPr>
          <w:rStyle w:val="DefaultParagraphFont"/>
          <w:i/>
          <w:sz w:val="20"/>
          <w:szCs w:val="20"/>
        </w:rPr>
      </w:pPr>
      <w:r>
        <w:rPr>
          <w:rStyle w:val="DefaultParagraphFont"/>
          <w:i/>
          <w:sz w:val="20"/>
          <w:szCs w:val="20"/>
        </w:rPr>
        <w:t>KEYWORDS</w:t>
      </w:r>
    </w:p>
    <w:p>
      <w:pPr>
        <w:pStyle w:val="Normal"/>
        <w:ind w:left="680" w:right="680" w:hanging="0"/>
        <w:jc w:val="center"/>
        <w:rPr/>
      </w:pPr>
      <w:r>
        <w:rPr/>
      </w:r>
    </w:p>
    <w:p>
      <w:pPr>
        <w:pStyle w:val="Normal"/>
        <w:ind w:left="680" w:right="680" w:hanging="0"/>
        <w:jc w:val="center"/>
        <w:rPr>
          <w:rStyle w:val="DefaultParagraphFont"/>
          <w:rFonts w:eastAsia="Droid Sans Fallback" w:cs="FreeSans" w:ascii="Times New Roman" w:hAnsi="Times New Roman"/>
          <w:i/>
          <w:color w:val="00000A"/>
          <w:sz w:val="22"/>
          <w:szCs w:val="22"/>
          <w:lang w:val="en-US" w:eastAsia="zh-CN" w:bidi="hi-IN"/>
        </w:rPr>
      </w:pPr>
      <w:r>
        <w:rPr>
          <w:rStyle w:val="DefaultParagraphFont"/>
          <w:rFonts w:eastAsia="Droid Sans Fallback" w:cs="FreeSans" w:ascii="Times New Roman" w:hAnsi="Times New Roman"/>
          <w:i/>
          <w:color w:val="00000A"/>
          <w:sz w:val="22"/>
          <w:szCs w:val="22"/>
          <w:lang w:val="en-US" w:eastAsia="zh-CN" w:bidi="hi-IN"/>
        </w:rPr>
        <w:t xml:space="preserve"> </w:t>
      </w:r>
      <w:r>
        <w:rPr>
          <w:rStyle w:val="DefaultParagraphFont"/>
          <w:rFonts w:eastAsia="Droid Sans Fallback" w:cs="FreeSans" w:ascii="Times New Roman" w:hAnsi="Times New Roman"/>
          <w:i/>
          <w:color w:val="00000A"/>
          <w:sz w:val="22"/>
          <w:szCs w:val="22"/>
          <w:lang w:val="en-US" w:eastAsia="zh-CN" w:bidi="hi-IN"/>
        </w:rPr>
        <w:t>Albacore, Biomass Dynamic, Cross-Test, Multifan-CL, Stock Assessment</w:t>
      </w:r>
    </w:p>
    <w:p>
      <w:pPr>
        <w:pStyle w:val="Normal"/>
        <w:ind w:left="680" w:right="680" w:hanging="0"/>
        <w:jc w:val="center"/>
        <w:rPr/>
      </w:pPr>
      <w:r>
        <w:rPr/>
      </w:r>
    </w:p>
    <w:p>
      <w:pPr>
        <w:sectPr>
          <w:headerReference w:type="default" r:id="rId2"/>
          <w:headerReference w:type="first" r:id="rId3"/>
          <w:footnotePr>
            <w:numFmt w:val="decimal"/>
          </w:footnotePr>
          <w:type w:val="nextPage"/>
          <w:pgSz w:w="11906" w:h="16838"/>
          <w:pgMar w:left="1418" w:right="1418" w:header="0" w:top="851" w:footer="0" w:bottom="1134" w:gutter="0"/>
          <w:pgNumType w:fmt="decimal"/>
          <w:formProt w:val="false"/>
          <w:titlePg/>
          <w:textDirection w:val="lrTb"/>
          <w:docGrid w:type="default" w:linePitch="240" w:charSpace="4294961151"/>
        </w:sectPr>
        <w:pStyle w:val="Normal"/>
        <w:ind w:left="680" w:right="680" w:hanging="0"/>
        <w:jc w:val="center"/>
        <w:rPr>
          <w:i/>
          <w:spacing w:val="1"/>
          <w:sz w:val="20"/>
          <w:szCs w:val="20"/>
        </w:rPr>
      </w:pPr>
      <w:r>
        <w:rPr>
          <w:i/>
          <w:spacing w:val="1"/>
          <w:sz w:val="20"/>
          <w:szCs w:val="20"/>
        </w:rPr>
      </w:r>
    </w:p>
    <w:p>
      <w:pPr>
        <w:pStyle w:val="Heading1"/>
        <w:pageBreakBefore/>
        <w:numPr>
          <w:ilvl w:val="0"/>
          <w:numId w:val="1"/>
        </w:numPr>
        <w:tabs>
          <w:tab w:val="left" w:pos="0" w:leader="none"/>
        </w:tabs>
        <w:ind w:left="0" w:right="0" w:hanging="0"/>
        <w:rPr>
          <w:rFonts w:ascii="Times New Roman" w:hAnsi="Times New Roman"/>
          <w:sz w:val="20"/>
          <w:szCs w:val="20"/>
        </w:rPr>
      </w:pPr>
      <w:r>
        <w:rPr>
          <w:rFonts w:ascii="Times New Roman" w:hAnsi="Times New Roman"/>
          <w:sz w:val="20"/>
          <w:szCs w:val="20"/>
        </w:rPr>
        <w:t>Introduction</w:t>
      </w:r>
    </w:p>
    <w:p>
      <w:pPr>
        <w:pStyle w:val="Normal"/>
        <w:jc w:val="both"/>
        <w:rPr>
          <w:rFonts w:ascii="Times New Roman" w:hAnsi="Times New Roman"/>
          <w:sz w:val="20"/>
          <w:szCs w:val="20"/>
        </w:rPr>
      </w:pPr>
      <w:r>
        <w:rPr>
          <w:rFonts w:ascii="Times New Roman" w:hAnsi="Times New Roman"/>
          <w:sz w:val="20"/>
          <w:szCs w:val="20"/>
        </w:rPr>
        <w:t xml:space="preserve">The main objective of Management Strategy Evaluation (MSE) is to evaluate alternative Management Procedure (MPs), where a Management Procedure is the combination of predefined data, together with an algorithm  to estimate stock status and reference points from the data to set management. An important part of the MP is the algorithm used to estimate stock estimation relative to reference points. In the case of the North Atlantic Albacore assessment advice on the total allowable catch (TAC) is performed using a biomass dynamic model. </w:t>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Style w:val="DefaultParagraphFont"/>
          <w:rFonts w:eastAsia="Droid Sans Fallback" w:cs="FreeSans" w:ascii="Times New Roman" w:hAnsi="Times New Roman"/>
          <w:i w:val="false"/>
          <w:iCs w:val="false"/>
          <w:color w:val="00000A"/>
          <w:sz w:val="20"/>
          <w:szCs w:val="20"/>
          <w:lang w:val="en-US" w:eastAsia="zh-CN" w:bidi="hi-IN"/>
        </w:rPr>
      </w:pPr>
      <w:r>
        <w:rPr>
          <w:rFonts w:ascii="Times New Roman" w:hAnsi="Times New Roman"/>
          <w:sz w:val="20"/>
          <w:szCs w:val="20"/>
        </w:rPr>
        <w:t>A cross test can be performed to evaluate the robustness of the different choices that have to be made when fitting a model</w:t>
      </w:r>
      <w:r>
        <w:rPr>
          <w:rStyle w:val="DefaultParagraphFont"/>
          <w:rFonts w:eastAsia="Droid Sans Fallback" w:cs="FreeSans" w:ascii="Times New Roman" w:hAnsi="Times New Roman"/>
          <w:i/>
          <w:color w:val="00000A"/>
          <w:sz w:val="22"/>
          <w:szCs w:val="22"/>
          <w:lang w:val="en-US" w:eastAsia="zh-CN" w:bidi="hi-IN"/>
        </w:rPr>
        <w:t>.</w:t>
      </w:r>
      <w:r>
        <w:rPr>
          <w:rStyle w:val="DefaultParagraphFont"/>
          <w:rFonts w:eastAsia="Droid Sans Fallback" w:cs="FreeSans" w:ascii="Times New Roman" w:hAnsi="Times New Roman"/>
          <w:i w:val="false"/>
          <w:iCs w:val="false"/>
          <w:color w:val="00000A"/>
          <w:sz w:val="22"/>
          <w:szCs w:val="22"/>
          <w:lang w:val="en-US" w:eastAsia="zh-CN" w:bidi="hi-IN"/>
        </w:rPr>
        <w:t xml:space="preserve"> </w:t>
      </w:r>
      <w:r>
        <w:rPr>
          <w:rStyle w:val="DefaultParagraphFont"/>
          <w:rFonts w:eastAsia="Droid Sans Fallback" w:cs="FreeSans" w:ascii="Times New Roman" w:hAnsi="Times New Roman"/>
          <w:i w:val="false"/>
          <w:iCs w:val="false"/>
          <w:color w:val="00000A"/>
          <w:sz w:val="20"/>
          <w:szCs w:val="20"/>
          <w:lang w:val="en-US" w:eastAsia="zh-CN" w:bidi="hi-IN"/>
        </w:rPr>
        <w:t xml:space="preserve">In a cross test data a model is fitted to data and then the fit is used to generate pseudo data </w:t>
        <w:t>that are used for fitting a different model. The estimates can  then be compared to identify bias. To generate the data we use the North Atlantic albacore integrated assessment based on Multifan-CL (SCRS/2016/023).</w:t>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t>The example is not extensive but we discuss how the method could be extended to evaluate the robustnes choices made when conducting a stock assessment or setting up an MP for testing.</w:t>
      </w:r>
    </w:p>
    <w:p>
      <w:pPr>
        <w:pStyle w:val="Heading1"/>
        <w:numPr>
          <w:ilvl w:val="0"/>
          <w:numId w:val="1"/>
        </w:numPr>
        <w:tabs>
          <w:tab w:val="left" w:pos="0" w:leader="none"/>
        </w:tabs>
        <w:ind w:left="0" w:right="0" w:hanging="0"/>
        <w:jc w:val="both"/>
        <w:rPr>
          <w:rFonts w:ascii="Times New Roman" w:hAnsi="Times New Roman"/>
          <w:sz w:val="20"/>
          <w:szCs w:val="20"/>
        </w:rPr>
      </w:pPr>
      <w:r>
        <w:rPr>
          <w:rFonts w:ascii="Times New Roman" w:hAnsi="Times New Roman"/>
          <w:sz w:val="20"/>
          <w:szCs w:val="20"/>
        </w:rPr>
        <w:t>Material and Methods</w:t>
      </w:r>
    </w:p>
    <w:p>
      <w:pPr>
        <w:pStyle w:val="Normal"/>
        <w:jc w:val="both"/>
        <w:rPr>
          <w:rFonts w:ascii="Times New Roman" w:hAnsi="Times New Roman"/>
          <w:i w:val="false"/>
          <w:iCs w:val="false"/>
          <w:sz w:val="20"/>
          <w:szCs w:val="20"/>
        </w:rPr>
      </w:pPr>
      <w:r>
        <w:rPr>
          <w:rFonts w:ascii="Times New Roman" w:hAnsi="Times New Roman"/>
          <w:i w:val="false"/>
          <w:iCs w:val="false"/>
          <w:sz w:val="20"/>
          <w:szCs w:val="20"/>
        </w:rPr>
      </w:r>
    </w:p>
    <w:p>
      <w:pPr>
        <w:pStyle w:val="Normal"/>
        <w:jc w:val="both"/>
        <w:rPr>
          <w:rFonts w:ascii="Times New Roman" w:hAnsi="Times New Roman"/>
          <w:sz w:val="20"/>
          <w:szCs w:val="20"/>
        </w:rPr>
      </w:pPr>
      <w:r>
        <w:rPr>
          <w:rFonts w:ascii="Times New Roman" w:hAnsi="Times New Roman"/>
          <w:sz w:val="20"/>
          <w:szCs w:val="20"/>
        </w:rPr>
        <w:t>A biomass dynamic model is fitted to time series of total catch biomass and indices of relative abundance, e.g. catch per unit effort (CPUE). We conduct the cross test by generating indices of abundance from the Multifan-CL. We then fit the biodyn biomass dynamic model to these data and compare the time series obtained from the two assessment procedures.</w:t>
      </w:r>
    </w:p>
    <w:p>
      <w:pPr>
        <w:pStyle w:val="Normal"/>
        <w:jc w:val="both"/>
        <w:rPr>
          <w:rFonts w:ascii="Times New Roman" w:hAnsi="Times New Roman"/>
          <w:sz w:val="20"/>
          <w:szCs w:val="20"/>
        </w:rPr>
      </w:pPr>
      <w:r>
        <w:rPr>
          <w:rFonts w:ascii="Times New Roman" w:hAnsi="Times New Roman"/>
          <w:sz w:val="20"/>
          <w:szCs w:val="20"/>
        </w:rPr>
      </w:r>
    </w:p>
    <w:p>
      <w:pPr>
        <w:pStyle w:val="TextBody"/>
        <w:spacing w:lineRule="auto" w:line="240"/>
        <w:jc w:val="both"/>
        <w:rPr>
          <w:rFonts w:eastAsia="Droid Sans Fallback" w:cs="FreeSans" w:ascii="Times New Roman" w:hAnsi="Times New Roman"/>
          <w:b w:val="false"/>
          <w:bCs w:val="false"/>
          <w:i w:val="false"/>
          <w:iCs w:val="false"/>
          <w:color w:val="00000A"/>
          <w:sz w:val="20"/>
          <w:szCs w:val="20"/>
          <w:lang w:val="en-US" w:eastAsia="zh-CN" w:bidi="hi-IN"/>
        </w:rPr>
      </w:pPr>
      <w:r>
        <w:rPr>
          <w:rFonts w:eastAsia="Droid Sans Fallback" w:cs="FreeSans" w:ascii="Times New Roman" w:hAnsi="Times New Roman"/>
          <w:b w:val="false"/>
          <w:bCs w:val="false"/>
          <w:i w:val="false"/>
          <w:iCs w:val="false"/>
          <w:color w:val="00000A"/>
          <w:sz w:val="20"/>
          <w:szCs w:val="20"/>
          <w:lang w:val="en-US" w:eastAsia="zh-CN" w:bidi="hi-IN"/>
        </w:rPr>
        <w:t xml:space="preserve">To do this the OM described in SCRS/2016/023 is used in non-feedback mode to generate pseudo data, namely. three CPUE series corresponding to i) total catch/effort; ii) juvenile catch/effort; and iii) mature catch of mature/effort. No measurement error was simulated. </w:t>
      </w:r>
    </w:p>
    <w:p>
      <w:pPr>
        <w:pStyle w:val="TextBody"/>
        <w:spacing w:lineRule="auto" w:line="240"/>
        <w:jc w:val="both"/>
        <w:rPr>
          <w:rFonts w:eastAsia="Droid Sans Fallback" w:cs="FreeSans" w:ascii="Times New Roman" w:hAnsi="Times New Roman"/>
          <w:b w:val="false"/>
          <w:bCs w:val="false"/>
          <w:i w:val="false"/>
          <w:iCs w:val="false"/>
          <w:color w:val="00000A"/>
          <w:sz w:val="20"/>
          <w:szCs w:val="20"/>
          <w:lang w:val="en-US" w:eastAsia="zh-CN" w:bidi="hi-IN"/>
        </w:rPr>
      </w:pPr>
      <w:r>
        <w:rPr>
          <w:rFonts w:eastAsia="Droid Sans Fallback" w:cs="FreeSans" w:ascii="Times New Roman" w:hAnsi="Times New Roman"/>
          <w:b w:val="false"/>
          <w:bCs w:val="false"/>
          <w:i w:val="false"/>
          <w:iCs w:val="false"/>
          <w:color w:val="00000A"/>
          <w:sz w:val="20"/>
          <w:szCs w:val="20"/>
          <w:lang w:val="en-US" w:eastAsia="zh-CN" w:bidi="hi-IN"/>
        </w:rPr>
        <w:t>The setting of the biomass dynamic model were the same as used by the 2013 WG, i.e. a logistic production curve was assumed. The initial value of biomass was set to the OM value at the beginning of the series</w:t>
      </w:r>
    </w:p>
    <w:p>
      <w:pPr>
        <w:pStyle w:val="Normal"/>
        <w:jc w:val="both"/>
        <w:rPr>
          <w:rFonts w:ascii="Times New Roman" w:hAnsi="Times New Roman"/>
          <w:sz w:val="20"/>
          <w:szCs w:val="20"/>
        </w:rPr>
      </w:pPr>
      <w:r>
        <w:rPr>
          <w:rFonts w:ascii="Times New Roman" w:hAnsi="Times New Roman"/>
          <w:sz w:val="20"/>
          <w:szCs w:val="20"/>
        </w:rPr>
      </w:r>
    </w:p>
    <w:p>
      <w:pPr>
        <w:pStyle w:val="Heading1"/>
        <w:numPr>
          <w:ilvl w:val="0"/>
          <w:numId w:val="1"/>
        </w:numPr>
        <w:tabs>
          <w:tab w:val="left" w:pos="0" w:leader="none"/>
        </w:tabs>
        <w:spacing w:before="0" w:after="0"/>
        <w:ind w:left="0" w:right="0" w:hanging="0"/>
        <w:jc w:val="both"/>
        <w:rPr>
          <w:rFonts w:ascii="Times New Roman" w:hAnsi="Times New Roman"/>
          <w:sz w:val="20"/>
          <w:szCs w:val="20"/>
        </w:rPr>
      </w:pPr>
      <w:r>
        <w:rPr>
          <w:rFonts w:ascii="Times New Roman" w:hAnsi="Times New Roman"/>
          <w:sz w:val="20"/>
          <w:szCs w:val="20"/>
        </w:rPr>
        <w:t>Results</w:t>
      </w:r>
    </w:p>
    <w:p>
      <w:pPr>
        <w:pStyle w:val="TextBody"/>
        <w:spacing w:lineRule="auto" w:line="240" w:before="0" w:after="0"/>
        <w:jc w:val="both"/>
        <w:rPr>
          <w:rFonts w:ascii="Times New Roman" w:hAnsi="Times New Roman"/>
          <w:sz w:val="20"/>
          <w:szCs w:val="20"/>
        </w:rPr>
      </w:pPr>
      <w:r>
        <w:rPr>
          <w:rFonts w:ascii="Times New Roman" w:hAnsi="Times New Roman"/>
          <w:sz w:val="20"/>
          <w:szCs w:val="20"/>
        </w:rPr>
      </w:r>
    </w:p>
    <w:p>
      <w:pPr>
        <w:pStyle w:val="TextBody"/>
        <w:spacing w:lineRule="auto" w:line="240" w:before="0" w:after="0"/>
        <w:jc w:val="both"/>
        <w:rPr>
          <w:rFonts w:ascii="Times New Roman" w:hAnsi="Times New Roman"/>
          <w:sz w:val="20"/>
          <w:szCs w:val="20"/>
        </w:rPr>
      </w:pPr>
      <w:r>
        <w:rPr>
          <w:rFonts w:ascii="Times New Roman" w:hAnsi="Times New Roman"/>
          <w:sz w:val="20"/>
          <w:szCs w:val="20"/>
        </w:rPr>
        <w:t xml:space="preserve">The simulated CPUE series are shown </w:t>
      </w:r>
      <w:r>
        <w:rPr>
          <w:rFonts w:ascii="Times New Roman" w:hAnsi="Times New Roman"/>
          <w:b/>
          <w:bCs/>
          <w:sz w:val="20"/>
          <w:szCs w:val="20"/>
        </w:rPr>
        <w:t>Figure 1</w:t>
      </w:r>
      <w:r>
        <w:rPr>
          <w:rFonts w:ascii="Times New Roman" w:hAnsi="Times New Roman"/>
          <w:sz w:val="20"/>
          <w:szCs w:val="20"/>
        </w:rPr>
        <w:t xml:space="preserve">. The index based on total biomass show, low frequency fluctuation, which are also present in the mature series. The juvenile series show higher frequency variability. This is because in Multifan-CL variability in production is driven by recruitment. </w:t>
      </w:r>
    </w:p>
    <w:p>
      <w:pPr>
        <w:pStyle w:val="TextBody"/>
        <w:spacing w:lineRule="auto" w:line="240" w:before="0" w:after="0"/>
        <w:jc w:val="both"/>
        <w:rPr>
          <w:rFonts w:ascii="Times New Roman" w:hAnsi="Times New Roman"/>
          <w:sz w:val="20"/>
          <w:szCs w:val="20"/>
        </w:rPr>
      </w:pPr>
      <w:r>
        <w:rPr>
          <w:rFonts w:ascii="Times New Roman" w:hAnsi="Times New Roman"/>
          <w:sz w:val="20"/>
          <w:szCs w:val="20"/>
        </w:rPr>
      </w:r>
    </w:p>
    <w:p>
      <w:pPr>
        <w:pStyle w:val="TextBody"/>
        <w:spacing w:lineRule="auto" w:line="240" w:before="0" w:after="0"/>
        <w:jc w:val="both"/>
        <w:rPr>
          <w:rFonts w:ascii="Times New Roman" w:hAnsi="Times New Roman"/>
          <w:sz w:val="20"/>
          <w:szCs w:val="20"/>
        </w:rPr>
      </w:pPr>
      <w:r>
        <w:rPr>
          <w:rFonts w:ascii="Times New Roman" w:hAnsi="Times New Roman"/>
          <w:sz w:val="20"/>
          <w:szCs w:val="20"/>
        </w:rPr>
        <w:t xml:space="preserve">This paper is only intended to be an example and so only two cross tests were run. </w:t>
      </w:r>
      <w:r>
        <w:rPr>
          <w:rFonts w:ascii="Times New Roman" w:hAnsi="Times New Roman"/>
          <w:b/>
          <w:bCs/>
          <w:sz w:val="20"/>
          <w:szCs w:val="20"/>
        </w:rPr>
        <w:t>Figure 2</w:t>
      </w:r>
      <w:r>
        <w:rPr>
          <w:rFonts w:ascii="Times New Roman" w:hAnsi="Times New Roman"/>
          <w:sz w:val="20"/>
          <w:szCs w:val="20"/>
        </w:rPr>
        <w:t xml:space="preserve"> compares the  biomass dynamic model fits (red) to the Multifan-CL OM (black); individual lines correspond to the OM scenarios. Since no process error is modelled in the biomass dynamic assessment model the trends are smoother. The assessment procedure captures the main trends but not the large changes every ten years, driven by incoming cohorts. </w:t>
      </w:r>
    </w:p>
    <w:p>
      <w:pPr>
        <w:pStyle w:val="TextBody"/>
        <w:spacing w:lineRule="auto" w:line="240" w:before="0" w:after="0"/>
        <w:jc w:val="both"/>
        <w:rPr>
          <w:rFonts w:ascii="Times New Roman" w:hAnsi="Times New Roman"/>
          <w:sz w:val="20"/>
          <w:szCs w:val="20"/>
        </w:rPr>
      </w:pPr>
      <w:r>
        <w:rPr>
          <w:rFonts w:ascii="Times New Roman" w:hAnsi="Times New Roman"/>
          <w:sz w:val="20"/>
          <w:szCs w:val="20"/>
        </w:rPr>
      </w:r>
    </w:p>
    <w:p>
      <w:pPr>
        <w:pStyle w:val="TextBody"/>
        <w:spacing w:lineRule="auto" w:line="240" w:before="0" w:after="0"/>
        <w:jc w:val="both"/>
        <w:rPr>
          <w:rFonts w:ascii="Times New Roman" w:hAnsi="Times New Roman"/>
          <w:sz w:val="20"/>
          <w:szCs w:val="20"/>
        </w:rPr>
      </w:pPr>
      <w:r>
        <w:rPr>
          <w:rFonts w:ascii="Times New Roman" w:hAnsi="Times New Roman"/>
          <w:sz w:val="20"/>
          <w:szCs w:val="20"/>
        </w:rPr>
        <w:t>Difference between using a juvenile or total biomass index are not large.</w:t>
      </w:r>
    </w:p>
    <w:p>
      <w:pPr>
        <w:pStyle w:val="TextBody"/>
        <w:spacing w:lineRule="auto" w:line="240" w:before="0" w:after="0"/>
        <w:jc w:val="both"/>
        <w:rPr>
          <w:rFonts w:ascii="Times New Roman" w:hAnsi="Times New Roman"/>
          <w:sz w:val="20"/>
          <w:szCs w:val="20"/>
        </w:rPr>
      </w:pPr>
      <w:r>
        <w:rPr>
          <w:rFonts w:ascii="Times New Roman" w:hAnsi="Times New Roman"/>
          <w:sz w:val="20"/>
          <w:szCs w:val="20"/>
        </w:rPr>
      </w:r>
    </w:p>
    <w:p>
      <w:pPr>
        <w:pStyle w:val="Heading1"/>
        <w:numPr>
          <w:ilvl w:val="0"/>
          <w:numId w:val="1"/>
        </w:numPr>
        <w:tabs>
          <w:tab w:val="left" w:pos="0" w:leader="none"/>
        </w:tabs>
        <w:ind w:left="0" w:right="0" w:hanging="0"/>
        <w:jc w:val="both"/>
        <w:rPr>
          <w:rFonts w:ascii="Times New Roman" w:hAnsi="Times New Roman"/>
          <w:sz w:val="20"/>
          <w:szCs w:val="20"/>
        </w:rPr>
      </w:pPr>
      <w:r>
        <w:rPr>
          <w:rFonts w:ascii="Times New Roman" w:hAnsi="Times New Roman"/>
          <w:sz w:val="20"/>
          <w:szCs w:val="20"/>
        </w:rPr>
        <w:t>Summary</w:t>
      </w:r>
    </w:p>
    <w:p>
      <w:pPr>
        <w:pStyle w:val="Normal"/>
        <w:jc w:val="both"/>
        <w:rPr>
          <w:rFonts w:eastAsia="Droid Sans Fallback" w:cs="FreeSans" w:ascii="Times New Roman" w:hAnsi="Times New Roman"/>
          <w:color w:val="00000A"/>
          <w:sz w:val="20"/>
          <w:szCs w:val="20"/>
          <w:lang w:val="en-US" w:eastAsia="zh-CN" w:bidi="hi-IN"/>
        </w:rPr>
      </w:pPr>
      <w:r>
        <w:rPr>
          <w:rFonts w:eastAsia="Droid Sans Fallback" w:cs="FreeSans" w:ascii="Times New Roman" w:hAnsi="Times New Roman"/>
          <w:color w:val="00000A"/>
          <w:sz w:val="20"/>
          <w:szCs w:val="20"/>
          <w:lang w:val="en-US" w:eastAsia="zh-CN" w:bidi="hi-IN"/>
        </w:rPr>
        <w:t xml:space="preserve">The </w:t>
      </w:r>
      <w:r>
        <w:rPr>
          <w:rFonts w:eastAsia="Droid Sans Fallback" w:cs="FreeSans" w:ascii="Times New Roman" w:hAnsi="Times New Roman"/>
          <w:color w:val="00000A"/>
          <w:sz w:val="20"/>
          <w:szCs w:val="20"/>
          <w:lang w:val="en-US" w:eastAsia="zh-CN" w:bidi="hi-IN"/>
        </w:rPr>
        <w:t>analysis</w:t>
      </w:r>
      <w:r>
        <w:rPr>
          <w:rFonts w:eastAsia="Droid Sans Fallback" w:cs="FreeSans" w:ascii="Times New Roman" w:hAnsi="Times New Roman"/>
          <w:color w:val="00000A"/>
          <w:sz w:val="20"/>
          <w:szCs w:val="20"/>
          <w:lang w:val="en-US" w:eastAsia="zh-CN" w:bidi="hi-IN"/>
        </w:rPr>
        <w:t xml:space="preserve"> </w:t>
      </w:r>
      <w:r>
        <w:rPr>
          <w:rFonts w:eastAsia="Droid Sans Fallback" w:cs="FreeSans" w:ascii="Times New Roman" w:hAnsi="Times New Roman"/>
          <w:color w:val="00000A"/>
          <w:sz w:val="20"/>
          <w:szCs w:val="20"/>
          <w:lang w:val="en-US" w:eastAsia="zh-CN" w:bidi="hi-IN"/>
        </w:rPr>
        <w:t xml:space="preserve">presented </w:t>
      </w:r>
      <w:r>
        <w:rPr>
          <w:rFonts w:eastAsia="Droid Sans Fallback" w:cs="FreeSans" w:ascii="Times New Roman" w:hAnsi="Times New Roman"/>
          <w:color w:val="00000A"/>
          <w:sz w:val="20"/>
          <w:szCs w:val="20"/>
          <w:lang w:val="en-US" w:eastAsia="zh-CN" w:bidi="hi-IN"/>
        </w:rPr>
        <w:t xml:space="preserve">was limited to two examples, based on indices with different selection patterns. </w:t>
      </w:r>
      <w:r>
        <w:rPr>
          <w:rFonts w:eastAsia="Droid Sans Fallback" w:cs="FreeSans" w:ascii="Times New Roman" w:hAnsi="Times New Roman"/>
          <w:color w:val="00000A"/>
          <w:sz w:val="20"/>
          <w:szCs w:val="20"/>
          <w:lang w:val="en-US" w:eastAsia="zh-CN" w:bidi="hi-IN"/>
        </w:rPr>
        <w:t>The juvenile index performed nearly as well as an index that represented the entire catch biomass. A reason for this is that the juvenile series provides an index of future biomass, i.e. if the total biomass is dominated by fish of age six and the juvenile is index is composed of fish of age 4, the index will provide an estimate of biomass in 2 years time. In a MP, a juvenile index may be ideal as it could provide forewarning of a potential crash.  In comparison using a mature index would only tell you what you already knew, i.e. the stock had declined. This illustrates the importance of simulatioin of feedback in an MP.</w:t>
      </w:r>
    </w:p>
    <w:p>
      <w:pPr>
        <w:pStyle w:val="Normal"/>
        <w:jc w:val="both"/>
        <w:rPr>
          <w:rFonts w:eastAsia="Droid Sans Fallback" w:cs="FreeSans" w:ascii="Times New Roman" w:hAnsi="Times New Roman"/>
          <w:color w:val="00000A"/>
          <w:sz w:val="20"/>
          <w:szCs w:val="20"/>
          <w:lang w:val="en-US" w:eastAsia="zh-CN" w:bidi="hi-IN"/>
        </w:rPr>
      </w:pPr>
      <w:r>
        <w:rPr>
          <w:rFonts w:eastAsia="Droid Sans Fallback" w:cs="FreeSans" w:ascii="Times New Roman" w:hAnsi="Times New Roman"/>
          <w:color w:val="00000A"/>
          <w:sz w:val="20"/>
          <w:szCs w:val="20"/>
          <w:lang w:val="en-US" w:eastAsia="zh-CN" w:bidi="hi-IN"/>
        </w:rPr>
      </w:r>
    </w:p>
    <w:p>
      <w:pPr>
        <w:pStyle w:val="Normal"/>
        <w:jc w:val="both"/>
        <w:rPr>
          <w:rFonts w:eastAsia="Droid Sans Fallback" w:cs="FreeSans" w:ascii="Times New Roman" w:hAnsi="Times New Roman"/>
          <w:color w:val="00000A"/>
          <w:sz w:val="20"/>
          <w:szCs w:val="20"/>
          <w:lang w:val="en-US" w:eastAsia="zh-CN" w:bidi="hi-IN"/>
        </w:rPr>
      </w:pPr>
      <w:r>
        <w:rPr>
          <w:rFonts w:eastAsia="Droid Sans Fallback" w:cs="FreeSans" w:ascii="Times New Roman" w:hAnsi="Times New Roman"/>
          <w:color w:val="00000A"/>
          <w:sz w:val="20"/>
          <w:szCs w:val="20"/>
          <w:lang w:val="en-US" w:eastAsia="zh-CN" w:bidi="hi-IN"/>
        </w:rPr>
        <w:t xml:space="preserve">The same procedure could be used to evaluate other sources of uncertainty, </w:t>
      </w:r>
      <w:r>
        <w:rPr>
          <w:rFonts w:eastAsia="Droid Sans Fallback" w:cs="FreeSans" w:ascii="Times New Roman" w:hAnsi="Times New Roman"/>
          <w:color w:val="00000A"/>
          <w:sz w:val="20"/>
          <w:szCs w:val="20"/>
          <w:lang w:val="en-US" w:eastAsia="zh-CN" w:bidi="hi-IN"/>
        </w:rPr>
        <w:t xml:space="preserve">such as the type of the production function and to non-stationarity.  </w:t>
      </w:r>
    </w:p>
    <w:p>
      <w:pPr>
        <w:pStyle w:val="Normal"/>
        <w:jc w:val="both"/>
        <w:rPr>
          <w:rFonts w:eastAsia="Droid Sans Fallback" w:cs="FreeSans" w:ascii="Times New Roman" w:hAnsi="Times New Roman"/>
          <w:color w:val="00000A"/>
          <w:sz w:val="20"/>
          <w:szCs w:val="20"/>
          <w:lang w:val="en-US" w:eastAsia="zh-CN" w:bidi="hi-IN"/>
        </w:rPr>
      </w:pPr>
      <w:r>
        <w:rPr>
          <w:rFonts w:eastAsia="Droid Sans Fallback" w:cs="FreeSans" w:ascii="Times New Roman" w:hAnsi="Times New Roman"/>
          <w:color w:val="00000A"/>
          <w:sz w:val="20"/>
          <w:szCs w:val="20"/>
          <w:lang w:val="en-US" w:eastAsia="zh-CN" w:bidi="hi-IN"/>
        </w:rPr>
      </w:r>
    </w:p>
    <w:p>
      <w:pPr>
        <w:pStyle w:val="Normal"/>
        <w:jc w:val="both"/>
        <w:rPr>
          <w:rFonts w:eastAsia="Droid Sans Fallback" w:cs="FreeSans" w:ascii="Times New Roman" w:hAnsi="Times New Roman"/>
          <w:color w:val="00000A"/>
          <w:sz w:val="20"/>
          <w:szCs w:val="20"/>
          <w:lang w:val="en-US" w:eastAsia="zh-CN" w:bidi="hi-IN"/>
        </w:rPr>
      </w:pPr>
      <w:r>
        <w:rPr>
          <w:rFonts w:eastAsia="Droid Sans Fallback" w:cs="FreeSans" w:ascii="Times New Roman" w:hAnsi="Times New Roman"/>
          <w:color w:val="00000A"/>
          <w:sz w:val="20"/>
          <w:szCs w:val="20"/>
          <w:lang w:val="en-US" w:eastAsia="zh-CN" w:bidi="hi-IN"/>
        </w:rPr>
        <w:t>For example a major uncertainty in a biomass dynamic stock assessment model is the shape of the production function, i.e. is it skewed to the left? A biomass dynamic model simplifies recruitment, growth and natural mortality into a single function, and life history arguments have been used to show that the Schaefer production model is probably not appropriate for tunas (Maunder, 2003). The Pella-Tomlinson form (Pella and Tomlinson, 1969) where B</w:t>
      </w:r>
      <w:r>
        <w:rPr>
          <w:rFonts w:eastAsia="Droid Sans Fallback" w:cs="FreeSans" w:ascii="Times New Roman" w:hAnsi="Times New Roman"/>
          <w:color w:val="00000A"/>
          <w:sz w:val="20"/>
          <w:szCs w:val="20"/>
          <w:vertAlign w:val="subscript"/>
          <w:lang w:val="en-US" w:eastAsia="zh-CN" w:bidi="hi-IN"/>
        </w:rPr>
        <w:t>MSY&lt;</w:t>
      </w:r>
      <w:r>
        <w:rPr>
          <w:rFonts w:eastAsia="Droid Sans Fallback" w:cs="FreeSans" w:ascii="Times New Roman" w:hAnsi="Times New Roman"/>
          <w:color w:val="00000A"/>
          <w:sz w:val="20"/>
          <w:szCs w:val="20"/>
          <w:lang w:val="en-US" w:eastAsia="zh-CN" w:bidi="hi-IN"/>
        </w:rPr>
        <w:t>0.5B</w:t>
      </w:r>
      <w:r>
        <w:rPr>
          <w:rFonts w:eastAsia="Droid Sans Fallback" w:cs="FreeSans" w:ascii="Times New Roman" w:hAnsi="Times New Roman"/>
          <w:color w:val="00000A"/>
          <w:sz w:val="20"/>
          <w:szCs w:val="20"/>
          <w:vertAlign w:val="subscript"/>
          <w:lang w:val="en-US" w:eastAsia="zh-CN" w:bidi="hi-IN"/>
        </w:rPr>
        <w:t>0</w:t>
      </w:r>
      <w:r>
        <w:rPr>
          <w:rFonts w:eastAsia="Droid Sans Fallback" w:cs="FreeSans" w:ascii="Times New Roman" w:hAnsi="Times New Roman"/>
          <w:color w:val="00000A"/>
          <w:sz w:val="20"/>
          <w:szCs w:val="20"/>
          <w:lang w:val="en-US" w:eastAsia="zh-CN" w:bidi="hi-IN"/>
        </w:rPr>
        <w:t xml:space="preserve"> is probably more realistic due to high steepness. A cross test could be used to evaluate the robustness of the logistic production function compared to using a Pella-Tomlinson form. </w:t>
      </w:r>
    </w:p>
    <w:p>
      <w:pPr>
        <w:pStyle w:val="Normal"/>
        <w:jc w:val="both"/>
        <w:rPr>
          <w:rFonts w:eastAsia="Droid Sans Fallback" w:cs="FreeSans" w:ascii="Times New Roman" w:hAnsi="Times New Roman"/>
          <w:color w:val="00000A"/>
          <w:sz w:val="20"/>
          <w:szCs w:val="20"/>
          <w:lang w:val="en-US" w:eastAsia="zh-CN" w:bidi="hi-IN"/>
        </w:rPr>
      </w:pPr>
      <w:r>
        <w:rPr>
          <w:rFonts w:eastAsia="Droid Sans Fallback" w:cs="FreeSans" w:ascii="Times New Roman" w:hAnsi="Times New Roman"/>
          <w:color w:val="00000A"/>
          <w:sz w:val="20"/>
          <w:szCs w:val="20"/>
          <w:lang w:val="en-US" w:eastAsia="zh-CN" w:bidi="hi-IN"/>
        </w:rPr>
      </w:r>
    </w:p>
    <w:p>
      <w:pPr>
        <w:pStyle w:val="Normal"/>
        <w:jc w:val="both"/>
        <w:rPr>
          <w:rFonts w:eastAsia="Droid Sans Fallback" w:cs="FreeSans" w:ascii="Times New Roman" w:hAnsi="Times New Roman"/>
          <w:color w:val="00000A"/>
          <w:sz w:val="20"/>
          <w:szCs w:val="20"/>
          <w:lang w:val="en-US" w:eastAsia="zh-CN" w:bidi="hi-IN"/>
        </w:rPr>
      </w:pPr>
      <w:r>
        <w:rPr>
          <w:rFonts w:eastAsia="Droid Sans Fallback" w:cs="FreeSans" w:ascii="Times New Roman" w:hAnsi="Times New Roman"/>
          <w:color w:val="00000A"/>
          <w:sz w:val="20"/>
          <w:szCs w:val="20"/>
          <w:lang w:val="en-US" w:eastAsia="zh-CN" w:bidi="hi-IN"/>
        </w:rPr>
        <w:t>N</w:t>
      </w:r>
      <w:r>
        <w:rPr>
          <w:rFonts w:eastAsia="Droid Sans Fallback" w:cs="FreeSans" w:ascii="Times New Roman" w:hAnsi="Times New Roman"/>
          <w:color w:val="00000A"/>
          <w:sz w:val="20"/>
          <w:szCs w:val="20"/>
          <w:lang w:val="en-US" w:eastAsia="zh-CN" w:bidi="hi-IN"/>
        </w:rPr>
        <w:t xml:space="preserve">on-stationarity was identified in the OM in SCRS/2016/023, </w:t>
      </w:r>
      <w:r>
        <w:rPr>
          <w:rFonts w:eastAsia="Droid Sans Fallback" w:cs="FreeSans" w:ascii="Times New Roman" w:hAnsi="Times New Roman"/>
          <w:color w:val="00000A"/>
          <w:sz w:val="20"/>
          <w:szCs w:val="20"/>
          <w:lang w:val="en-US" w:eastAsia="zh-CN" w:bidi="hi-IN"/>
        </w:rPr>
        <w:t xml:space="preserve">one option for dealing with this is to </w:t>
      </w:r>
      <w:r>
        <w:rPr>
          <w:rFonts w:eastAsia="Droid Sans Fallback" w:cs="FreeSans" w:ascii="Times New Roman" w:hAnsi="Times New Roman"/>
          <w:color w:val="00000A"/>
          <w:sz w:val="20"/>
          <w:szCs w:val="20"/>
          <w:lang w:val="en-US" w:eastAsia="zh-CN" w:bidi="hi-IN"/>
        </w:rPr>
        <w:t>truncat</w:t>
      </w:r>
      <w:r>
        <w:rPr>
          <w:rFonts w:eastAsia="Droid Sans Fallback" w:cs="FreeSans" w:ascii="Times New Roman" w:hAnsi="Times New Roman"/>
          <w:color w:val="00000A"/>
          <w:sz w:val="20"/>
          <w:szCs w:val="20"/>
          <w:lang w:val="en-US" w:eastAsia="zh-CN" w:bidi="hi-IN"/>
        </w:rPr>
        <w:t>e</w:t>
      </w:r>
      <w:r>
        <w:rPr>
          <w:rFonts w:eastAsia="Droid Sans Fallback" w:cs="FreeSans" w:ascii="Times New Roman" w:hAnsi="Times New Roman"/>
          <w:color w:val="00000A"/>
          <w:sz w:val="20"/>
          <w:szCs w:val="20"/>
          <w:lang w:val="en-US" w:eastAsia="zh-CN" w:bidi="hi-IN"/>
        </w:rPr>
        <w:t xml:space="preserve"> the time series. </w:t>
      </w:r>
    </w:p>
    <w:p>
      <w:pPr>
        <w:pStyle w:val="Normal"/>
        <w:jc w:val="both"/>
        <w:rPr>
          <w:rFonts w:eastAsia="Droid Sans Fallback" w:cs="FreeSans" w:ascii="Times New Roman" w:hAnsi="Times New Roman"/>
          <w:color w:val="00000A"/>
          <w:sz w:val="20"/>
          <w:szCs w:val="20"/>
          <w:lang w:val="en-US" w:eastAsia="zh-CN" w:bidi="hi-IN"/>
        </w:rPr>
      </w:pPr>
      <w:r>
        <w:rPr>
          <w:rFonts w:eastAsia="Droid Sans Fallback" w:cs="FreeSans" w:ascii="Times New Roman" w:hAnsi="Times New Roman"/>
          <w:color w:val="00000A"/>
          <w:sz w:val="20"/>
          <w:szCs w:val="20"/>
          <w:lang w:val="en-US" w:eastAsia="zh-CN" w:bidi="hi-IN"/>
        </w:rPr>
      </w:r>
    </w:p>
    <w:p>
      <w:pPr>
        <w:pStyle w:val="Normal"/>
        <w:jc w:val="both"/>
        <w:rPr>
          <w:rFonts w:eastAsia="Droid Sans Fallback" w:cs="FreeSans" w:ascii="Times New Roman" w:hAnsi="Times New Roman"/>
          <w:color w:val="00000A"/>
          <w:sz w:val="20"/>
          <w:szCs w:val="20"/>
          <w:lang w:val="en-US" w:eastAsia="zh-CN" w:bidi="hi-IN"/>
        </w:rPr>
      </w:pPr>
      <w:r>
        <w:rPr>
          <w:rFonts w:eastAsia="Droid Sans Fallback" w:cs="FreeSans" w:ascii="Times New Roman" w:hAnsi="Times New Roman"/>
          <w:color w:val="00000A"/>
          <w:sz w:val="20"/>
          <w:szCs w:val="20"/>
          <w:lang w:val="en-US" w:eastAsia="zh-CN" w:bidi="hi-IN"/>
        </w:rPr>
        <w:t>Running a cross-test is useful step when setting up an MSE, as it may allow MP options that will not perform well to be excluded from the full simulation trails.</w:t>
      </w:r>
    </w:p>
    <w:p>
      <w:pPr>
        <w:pStyle w:val="Normal"/>
        <w:jc w:val="both"/>
        <w:rPr>
          <w:rFonts w:eastAsia="Droid Sans Fallback" w:cs="FreeSans" w:ascii="Times New Roman" w:hAnsi="Times New Roman"/>
          <w:b/>
          <w:bCs/>
          <w:color w:val="00000A"/>
          <w:sz w:val="20"/>
          <w:szCs w:val="20"/>
          <w:lang w:val="en-US" w:eastAsia="zh-CN" w:bidi="hi-IN"/>
        </w:rPr>
      </w:pPr>
      <w:r>
        <w:rPr>
          <w:rFonts w:eastAsia="Droid Sans Fallback" w:cs="FreeSans" w:ascii="Times New Roman" w:hAnsi="Times New Roman"/>
          <w:b/>
          <w:bCs/>
          <w:color w:val="00000A"/>
          <w:sz w:val="20"/>
          <w:szCs w:val="20"/>
          <w:lang w:val="en-US" w:eastAsia="zh-CN" w:bidi="hi-IN"/>
        </w:rPr>
      </w:r>
    </w:p>
    <w:p>
      <w:pPr>
        <w:pStyle w:val="Normal"/>
        <w:jc w:val="both"/>
        <w:rPr>
          <w:rFonts w:ascii="Times New Roman" w:hAnsi="Times New Roman"/>
          <w:sz w:val="20"/>
          <w:szCs w:val="20"/>
        </w:rPr>
      </w:pPr>
      <w:r>
        <w:rPr>
          <w:rFonts w:ascii="Times New Roman" w:hAnsi="Times New Roman"/>
          <w:sz w:val="20"/>
          <w:szCs w:val="20"/>
        </w:rPr>
      </w:r>
    </w:p>
    <w:p>
      <w:pPr>
        <w:pStyle w:val="Heading1"/>
        <w:numPr>
          <w:ilvl w:val="0"/>
          <w:numId w:val="1"/>
        </w:numPr>
        <w:tabs>
          <w:tab w:val="left" w:pos="0" w:leader="none"/>
        </w:tabs>
        <w:ind w:left="0" w:right="0" w:hanging="0"/>
        <w:jc w:val="both"/>
        <w:rPr>
          <w:rFonts w:ascii="Times New Roman" w:hAnsi="Times New Roman"/>
          <w:sz w:val="20"/>
          <w:szCs w:val="20"/>
        </w:rPr>
      </w:pPr>
      <w:r>
        <w:rPr>
          <w:rFonts w:ascii="Times New Roman" w:hAnsi="Times New Roman"/>
          <w:sz w:val="20"/>
          <w:szCs w:val="20"/>
        </w:rPr>
      </w:r>
    </w:p>
    <w:p>
      <w:pPr>
        <w:pStyle w:val="Heading1"/>
        <w:pageBreakBefore/>
        <w:numPr>
          <w:ilvl w:val="0"/>
          <w:numId w:val="1"/>
        </w:numPr>
        <w:tabs>
          <w:tab w:val="left" w:pos="0" w:leader="none"/>
        </w:tabs>
        <w:ind w:left="0" w:right="0" w:hanging="0"/>
        <w:jc w:val="both"/>
        <w:rPr>
          <w:rFonts w:ascii="Times New Roman" w:hAnsi="Times New Roman"/>
          <w:sz w:val="20"/>
          <w:szCs w:val="20"/>
        </w:rPr>
      </w:pPr>
      <w:r>
        <w:rPr>
          <w:rFonts w:ascii="Times New Roman" w:hAnsi="Times New Roman"/>
          <w:sz w:val="20"/>
          <w:szCs w:val="20"/>
        </w:rPr>
        <w:t>References</w:t>
      </w:r>
    </w:p>
    <w:p>
      <w:pPr>
        <w:pStyle w:val="TextBody"/>
        <w:spacing w:lineRule="auto" w:line="240" w:before="0" w:after="140"/>
        <w:ind w:left="284" w:right="0" w:hanging="284"/>
        <w:jc w:val="both"/>
        <w:rPr>
          <w:rStyle w:val="DefaultParagraphFont"/>
          <w:rFonts w:ascii="Times New Roman" w:hAnsi="Times New Roman"/>
          <w:sz w:val="20"/>
          <w:szCs w:val="20"/>
        </w:rPr>
      </w:pPr>
      <w:r>
        <w:rPr>
          <w:rStyle w:val="DefaultParagraphFont"/>
          <w:rFonts w:ascii="Times New Roman" w:hAnsi="Times New Roman"/>
          <w:sz w:val="20"/>
          <w:szCs w:val="20"/>
        </w:rPr>
        <w:t>M. N. Maunder. Is it time to discard the schaefer model from the stock assessment scientists toolbox? Fish. Res., 61(1):145–149, 2003.</w:t>
      </w:r>
    </w:p>
    <w:p>
      <w:pPr>
        <w:pStyle w:val="TextBody"/>
        <w:spacing w:lineRule="auto" w:line="240" w:before="0" w:after="140"/>
        <w:ind w:left="284" w:right="0" w:hanging="284"/>
        <w:jc w:val="both"/>
        <w:rPr>
          <w:rStyle w:val="DefaultParagraphFont"/>
          <w:rFonts w:ascii="Times New Roman" w:hAnsi="Times New Roman"/>
          <w:sz w:val="20"/>
          <w:szCs w:val="20"/>
        </w:rPr>
      </w:pPr>
      <w:r>
        <w:rPr>
          <w:rStyle w:val="DefaultParagraphFont"/>
          <w:rFonts w:ascii="Times New Roman" w:hAnsi="Times New Roman"/>
          <w:sz w:val="20"/>
          <w:szCs w:val="20"/>
        </w:rPr>
        <w:t>J. Pella and P. Tomlinson. A generalized stock production model. Inter-American Tropical Tuna Commission, 1969.</w:t>
      </w:r>
    </w:p>
    <w:sectPr>
      <w:headerReference w:type="default" r:id="rId4"/>
      <w:footerReference w:type="default" r:id="rId5"/>
      <w:footnotePr>
        <w:numFmt w:val="decimal"/>
      </w:footnotePr>
      <w:type w:val="nextPage"/>
      <w:pgSz w:w="11906" w:h="16838"/>
      <w:pgMar w:left="1418" w:right="1418" w:header="0" w:top="851" w:footer="1134" w:bottom="141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Consolas">
    <w:charset w:val="01"/>
    <w:family w:val="roman"/>
    <w:pitch w:val="variable"/>
  </w:font>
  <w:font w:name="Segoe UI">
    <w:charset w:val="01"/>
    <w:family w:val="roman"/>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Times New Roman">
    <w:charset w:val="01"/>
    <w:family w:val="roman"/>
    <w:pitch w:val="variable"/>
  </w:font>
  <w:font w:name="Arial">
    <w:charset w:val="01"/>
    <w:family w:val="roman"/>
    <w:pitch w:val="variable"/>
  </w:font>
  <w:font w:name="Times New Roman">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4</w:t>
    </w:r>
    <w:r>
      <w:fldChar w:fldCharType="end"/>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rStyle w:val="DefaultParagraphFont"/>
          <w:sz w:val="16"/>
          <w:szCs w:val="16"/>
        </w:rPr>
      </w:pPr>
      <w:r>
        <w:rPr>
          <w:rStyle w:val="DefaultParagraphFont"/>
          <w:sz w:val="16"/>
          <w:szCs w:val="16"/>
          <w:lang w:val="es-ES"/>
        </w:rPr>
        <w:footnoteRef/>
        <w:tab/>
        <w:t xml:space="preserve"> </w:t>
      </w:r>
      <w:r>
        <w:rPr>
          <w:rStyle w:val="DefaultParagraphFont"/>
          <w:sz w:val="16"/>
          <w:szCs w:val="16"/>
          <w:lang w:val="es-ES"/>
        </w:rPr>
        <w:t xml:space="preserve">ICCAT Secretariat, C/Corazón de María, 8. </w:t>
      </w:r>
      <w:r>
        <w:rPr>
          <w:rStyle w:val="DefaultParagraphFont"/>
          <w:sz w:val="16"/>
          <w:szCs w:val="16"/>
        </w:rPr>
        <w:t>28002 Madrid, Spain; Laurie.Kell@iccat.int; Phone: +34 914 165 600  Fax: +34 914 152 612.</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LONormal"/>
      <w:widowControl/>
      <w:tabs>
        <w:tab w:val="right" w:pos="9072" w:leader="none"/>
      </w:tabs>
      <w:suppressAutoHyphens w:val="false"/>
      <w:spacing w:lineRule="auto" w:line="276"/>
      <w:textAlignment w:val="auto"/>
      <w:rPr>
        <w:rStyle w:val="DefaultParagraphFont"/>
        <w:rFonts w:eastAsia="Arial" w:cs="Arial" w:ascii="Arial" w:hAnsi="Arial"/>
        <w:color w:val="000000"/>
        <w:sz w:val="20"/>
        <w:szCs w:val="20"/>
        <w:lang w:val="es-ES" w:eastAsia="es-ES" w:bidi="ar-SA"/>
      </w:rPr>
    </w:pPr>
    <w:r>
      <w:rPr>
        <w:rStyle w:val="DefaultParagraphFont"/>
        <w:rFonts w:eastAsia="Arial" w:cs="Arial" w:ascii="Arial" w:hAnsi="Arial"/>
        <w:color w:val="000000"/>
        <w:sz w:val="20"/>
        <w:szCs w:val="20"/>
        <w:lang w:eastAsia="es-ES" w:bidi="ar-SA"/>
      </w:rPr>
      <w:t>SCRS/2016/023</w:t>
      <w:tab/>
      <w:t xml:space="preserve">Collect. Vol. Sci. Pap. </w:t>
    </w:r>
    <w:r>
      <w:rPr>
        <w:rStyle w:val="DefaultParagraphFont"/>
        <w:rFonts w:eastAsia="Arial" w:cs="Arial" w:ascii="Arial" w:hAnsi="Arial"/>
        <w:color w:val="000000"/>
        <w:sz w:val="20"/>
        <w:szCs w:val="20"/>
        <w:lang w:val="es-ES" w:eastAsia="es-ES" w:bidi="ar-SA"/>
      </w:rPr>
      <w:t>ICCAT, 72: (2017)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LONormal"/>
      <w:widowControl/>
      <w:tabs>
        <w:tab w:val="right" w:pos="9072" w:leader="none"/>
      </w:tabs>
      <w:suppressAutoHyphens w:val="false"/>
      <w:spacing w:lineRule="auto" w:line="276"/>
      <w:textAlignment w:val="auto"/>
      <w:rPr>
        <w:rStyle w:val="DefaultParagraphFont"/>
        <w:rFonts w:eastAsia="Arial" w:cs="Arial" w:ascii="Arial" w:hAnsi="Arial"/>
        <w:color w:val="000000"/>
        <w:sz w:val="20"/>
        <w:szCs w:val="20"/>
        <w:lang w:val="es-ES" w:eastAsia="es-ES" w:bidi="ar-SA"/>
      </w:rPr>
    </w:pPr>
    <w:r>
      <w:rPr>
        <w:rStyle w:val="DefaultParagraphFont"/>
        <w:rFonts w:eastAsia="Arial" w:cs="Arial" w:ascii="Arial" w:hAnsi="Arial"/>
        <w:color w:val="000000"/>
        <w:sz w:val="20"/>
        <w:szCs w:val="20"/>
        <w:lang w:eastAsia="es-ES" w:bidi="ar-SA"/>
      </w:rPr>
      <w:t>SCRS/2016/02</w:t>
    </w:r>
    <w:r>
      <w:rPr>
        <w:rStyle w:val="DefaultParagraphFont"/>
        <w:rFonts w:eastAsia="Arial" w:cs="Arial" w:ascii="Arial" w:hAnsi="Arial"/>
        <w:color w:val="000000"/>
        <w:sz w:val="20"/>
        <w:szCs w:val="20"/>
        <w:lang w:eastAsia="es-ES" w:bidi="ar-SA"/>
      </w:rPr>
      <w:t>6</w:t>
    </w:r>
    <w:r>
      <w:rPr>
        <w:rStyle w:val="DefaultParagraphFont"/>
        <w:rFonts w:eastAsia="Arial" w:cs="Arial" w:ascii="Arial" w:hAnsi="Arial"/>
        <w:color w:val="000000"/>
        <w:sz w:val="20"/>
        <w:szCs w:val="20"/>
        <w:lang w:eastAsia="es-ES" w:bidi="ar-SA"/>
      </w:rPr>
      <w:tab/>
      <w:t xml:space="preserve">Collect. Vol. Sci. Pap. </w:t>
    </w:r>
    <w:r>
      <w:rPr>
        <w:rStyle w:val="DefaultParagraphFont"/>
        <w:rFonts w:eastAsia="Arial" w:cs="Arial" w:ascii="Arial" w:hAnsi="Arial"/>
        <w:color w:val="000000"/>
        <w:sz w:val="20"/>
        <w:szCs w:val="20"/>
        <w:lang w:val="es-ES" w:eastAsia="es-ES" w:bidi="ar-SA"/>
      </w:rPr>
      <w:t>ICCAT, 7</w:t>
    </w:r>
    <w:r>
      <w:rPr>
        <w:rStyle w:val="DefaultParagraphFont"/>
        <w:rFonts w:eastAsia="Arial" w:cs="Arial" w:ascii="Arial" w:hAnsi="Arial"/>
        <w:color w:val="000000"/>
        <w:sz w:val="20"/>
        <w:szCs w:val="20"/>
        <w:lang w:val="es-ES" w:eastAsia="es-ES" w:bidi="ar-SA"/>
      </w:rPr>
      <w:t>3</w:t>
    </w:r>
    <w:r>
      <w:rPr>
        <w:rStyle w:val="DefaultParagraphFont"/>
        <w:rFonts w:eastAsia="Arial" w:cs="Arial" w:ascii="Arial" w:hAnsi="Arial"/>
        <w:color w:val="000000"/>
        <w:sz w:val="20"/>
        <w:szCs w:val="20"/>
        <w:lang w:val="es-ES" w:eastAsia="es-ES" w:bidi="ar-SA"/>
      </w:rPr>
      <w:t>: (2017)</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LONormal"/>
      <w:widowControl/>
      <w:tabs>
        <w:tab w:val="right" w:pos="9072" w:leader="none"/>
      </w:tabs>
      <w:suppressAutoHyphens w:val="false"/>
      <w:spacing w:lineRule="auto" w:line="276"/>
      <w:textAlignment w:val="auto"/>
      <w:rPr>
        <w:rStyle w:val="DefaultParagraphFont"/>
        <w:rFonts w:eastAsia="Arial" w:cs="Arial" w:ascii="Arial" w:hAnsi="Arial"/>
        <w:color w:val="000000"/>
        <w:sz w:val="20"/>
        <w:szCs w:val="20"/>
        <w:lang w:val="es-ES" w:eastAsia="es-ES" w:bidi="ar-SA"/>
      </w:rPr>
    </w:pPr>
    <w:r>
      <w:rPr>
        <w:rStyle w:val="DefaultParagraphFont"/>
        <w:rFonts w:eastAsia="Arial" w:cs="Arial" w:ascii="Arial" w:hAnsi="Arial"/>
        <w:color w:val="000000"/>
        <w:sz w:val="20"/>
        <w:szCs w:val="20"/>
        <w:lang w:eastAsia="es-ES" w:bidi="ar-SA"/>
      </w:rPr>
      <w:t>SCRS/201</w:t>
    </w:r>
    <w:r>
      <w:rPr>
        <w:rStyle w:val="DefaultParagraphFont"/>
        <w:rFonts w:eastAsia="Arial" w:cs="Arial" w:ascii="Arial" w:hAnsi="Arial"/>
        <w:color w:val="000000"/>
        <w:sz w:val="20"/>
        <w:szCs w:val="20"/>
        <w:lang w:eastAsia="es-ES" w:bidi="ar-SA"/>
      </w:rPr>
      <w:t>6</w:t>
    </w:r>
    <w:r>
      <w:rPr>
        <w:rStyle w:val="DefaultParagraphFont"/>
        <w:rFonts w:eastAsia="Arial" w:cs="Arial" w:ascii="Arial" w:hAnsi="Arial"/>
        <w:color w:val="000000"/>
        <w:sz w:val="20"/>
        <w:szCs w:val="20"/>
        <w:lang w:eastAsia="es-ES" w:bidi="ar-SA"/>
      </w:rPr>
      <w:t>/0</w:t>
    </w:r>
    <w:r>
      <w:rPr>
        <w:rStyle w:val="DefaultParagraphFont"/>
        <w:rFonts w:eastAsia="Arial" w:cs="Arial" w:ascii="Arial" w:hAnsi="Arial"/>
        <w:color w:val="000000"/>
        <w:sz w:val="20"/>
        <w:szCs w:val="20"/>
        <w:lang w:eastAsia="es-ES" w:bidi="ar-SA"/>
      </w:rPr>
      <w:t>26</w:t>
    </w:r>
    <w:r>
      <w:rPr>
        <w:rStyle w:val="DefaultParagraphFont"/>
        <w:rFonts w:eastAsia="Arial" w:cs="Arial" w:ascii="Arial" w:hAnsi="Arial"/>
        <w:color w:val="000000"/>
        <w:sz w:val="20"/>
        <w:szCs w:val="20"/>
        <w:lang w:eastAsia="es-ES" w:bidi="ar-SA"/>
      </w:rPr>
      <w:tab/>
      <w:t xml:space="preserve">Collect. Vol. Sci. Pap. </w:t>
    </w:r>
    <w:r>
      <w:rPr>
        <w:rStyle w:val="DefaultParagraphFont"/>
        <w:rFonts w:eastAsia="Arial" w:cs="Arial" w:ascii="Arial" w:hAnsi="Arial"/>
        <w:color w:val="000000"/>
        <w:sz w:val="20"/>
        <w:szCs w:val="20"/>
        <w:lang w:val="es-ES" w:eastAsia="es-ES" w:bidi="ar-SA"/>
      </w:rPr>
      <w:t>ICCAT, 7</w:t>
    </w:r>
    <w:r>
      <w:rPr>
        <w:rStyle w:val="DefaultParagraphFont"/>
        <w:rFonts w:eastAsia="Arial" w:cs="Arial" w:ascii="Arial" w:hAnsi="Arial"/>
        <w:color w:val="000000"/>
        <w:sz w:val="20"/>
        <w:szCs w:val="20"/>
        <w:lang w:val="es-ES" w:eastAsia="es-ES" w:bidi="ar-SA"/>
      </w:rPr>
      <w:t>3</w:t>
    </w:r>
    <w:r>
      <w:rPr>
        <w:rStyle w:val="DefaultParagraphFont"/>
        <w:rFonts w:eastAsia="Arial" w:cs="Arial" w:ascii="Arial" w:hAnsi="Arial"/>
        <w:color w:val="000000"/>
        <w:sz w:val="20"/>
        <w:szCs w:val="20"/>
        <w:lang w:val="es-ES" w:eastAsia="es-ES" w:bidi="ar-SA"/>
      </w:rPr>
      <w:t>: (2016)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suppressAutoHyphens w:val="false"/>
        <w:textAlignment w:val="baseline"/>
      </w:pPr>
    </w:pPrDefault>
  </w:docDefaults>
  <w:style w:type="paragraph" w:styleId="Normal">
    <w:name w:val="Normal"/>
    <w:pPr>
      <w:widowControl w:val="false"/>
      <w:suppressAutoHyphens w:val="false"/>
      <w:bidi w:val="0"/>
      <w:jc w:val="left"/>
      <w:textAlignment w:val="baseline"/>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uppressAutoHyphens w:val="true"/>
      <w:outlineLvl w:val="0"/>
    </w:pPr>
    <w:rPr>
      <w:b/>
      <w:bCs/>
    </w:rPr>
  </w:style>
  <w:style w:type="paragraph" w:styleId="Heading2">
    <w:name w:val="Heading 2"/>
    <w:basedOn w:val="Heading"/>
    <w:pPr>
      <w:suppressAutoHyphens w:val="true"/>
      <w:spacing w:before="200" w:after="0"/>
      <w:outlineLvl w:val="1"/>
    </w:pPr>
    <w:rPr>
      <w:b/>
      <w:bCs/>
    </w:rPr>
  </w:style>
  <w:style w:type="paragraph" w:styleId="Heading3">
    <w:name w:val="Heading 3"/>
    <w:basedOn w:val="Heading"/>
    <w:pPr>
      <w:suppressAutoHyphens w:val="true"/>
      <w:spacing w:before="140" w:after="0"/>
      <w:outlineLvl w:val="2"/>
    </w:pPr>
    <w:rPr>
      <w:b/>
      <w:bCs/>
      <w:color w:val="808080"/>
    </w:rPr>
  </w:style>
  <w:style w:type="character" w:styleId="DefaultParagraphFont">
    <w:name w:val="Default Paragraph Font"/>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FootnoteCharacters">
    <w:name w:val="Footnote Characters"/>
    <w:rPr>
      <w:sz w:val="16"/>
    </w:rPr>
  </w:style>
  <w:style w:type="character" w:styleId="FootnoteAnchor">
    <w:name w:val="Footnote Anchor"/>
    <w:basedOn w:val="DefaultParagraphFont"/>
    <w:rPr>
      <w:sz w:val="16"/>
      <w:vertAlign w:val="superscript"/>
    </w:rPr>
  </w:style>
  <w:style w:type="character" w:styleId="BodyTextChar">
    <w:name w:val="Body Text Char"/>
    <w:basedOn w:val="DefaultParagraphFont"/>
    <w:rPr/>
  </w:style>
  <w:style w:type="character" w:styleId="VerbatimChar">
    <w:name w:val="Verbatim Char"/>
    <w:basedOn w:val="BodyTextChar"/>
    <w:rPr>
      <w:rFonts w:ascii="Consolas" w:hAnsi="Consolas" w:eastAsia="Consolas" w:cs="Consolas"/>
      <w:sz w:val="22"/>
    </w:rPr>
  </w:style>
  <w:style w:type="character" w:styleId="HeaderChar">
    <w:name w:val="Header Char"/>
    <w:basedOn w:val="DefaultParagraphFont"/>
    <w:rPr>
      <w:rFonts w:cs="Mangal"/>
      <w:szCs w:val="21"/>
    </w:rPr>
  </w:style>
  <w:style w:type="character" w:styleId="FooterChar">
    <w:name w:val="Footer Char"/>
    <w:basedOn w:val="DefaultParagraphFont"/>
    <w:rPr>
      <w:rFonts w:cs="Mangal"/>
      <w:szCs w:val="21"/>
    </w:rPr>
  </w:style>
  <w:style w:type="character" w:styleId="BalloonTextChar">
    <w:name w:val="Balloon Text Char"/>
    <w:basedOn w:val="DefaultParagraphFont"/>
    <w:rPr>
      <w:rFonts w:ascii="Segoe UI" w:hAnsi="Segoe UI" w:cs="Mangal"/>
      <w:sz w:val="18"/>
      <w:szCs w:val="16"/>
    </w:rPr>
  </w:style>
  <w:style w:type="character" w:styleId="WWCharLFO1LVL1">
    <w:name w:val="WW_CharLFO1LVL1"/>
    <w:rPr>
      <w:rFonts w:ascii="OpenSymbol" w:hAnsi="OpenSymbol" w:eastAsia="OpenSymbol" w:cs="OpenSymbol"/>
    </w:rPr>
  </w:style>
  <w:style w:type="character" w:styleId="WWCharLFO1LVL2">
    <w:name w:val="WW_CharLFO1LVL2"/>
    <w:rPr>
      <w:rFonts w:ascii="OpenSymbol" w:hAnsi="OpenSymbol" w:eastAsia="OpenSymbol" w:cs="OpenSymbol"/>
    </w:rPr>
  </w:style>
  <w:style w:type="character" w:styleId="WWCharLFO1LVL3">
    <w:name w:val="WW_CharLFO1LVL3"/>
    <w:rPr>
      <w:rFonts w:ascii="OpenSymbol" w:hAnsi="OpenSymbol" w:eastAsia="OpenSymbol" w:cs="OpenSymbol"/>
    </w:rPr>
  </w:style>
  <w:style w:type="character" w:styleId="WWCharLFO1LVL4">
    <w:name w:val="WW_CharLFO1LVL4"/>
    <w:rPr>
      <w:rFonts w:ascii="OpenSymbol" w:hAnsi="OpenSymbol" w:eastAsia="OpenSymbol" w:cs="OpenSymbol"/>
    </w:rPr>
  </w:style>
  <w:style w:type="character" w:styleId="WWCharLFO1LVL5">
    <w:name w:val="WW_CharLFO1LVL5"/>
    <w:rPr>
      <w:rFonts w:ascii="OpenSymbol" w:hAnsi="OpenSymbol" w:eastAsia="OpenSymbol" w:cs="OpenSymbol"/>
    </w:rPr>
  </w:style>
  <w:style w:type="character" w:styleId="WWCharLFO1LVL6">
    <w:name w:val="WW_CharLFO1LVL6"/>
    <w:rPr>
      <w:rFonts w:ascii="OpenSymbol" w:hAnsi="OpenSymbol" w:eastAsia="OpenSymbol" w:cs="OpenSymbol"/>
    </w:rPr>
  </w:style>
  <w:style w:type="character" w:styleId="WWCharLFO1LVL7">
    <w:name w:val="WW_CharLFO1LVL7"/>
    <w:rPr>
      <w:rFonts w:ascii="OpenSymbol" w:hAnsi="OpenSymbol" w:eastAsia="OpenSymbol" w:cs="OpenSymbol"/>
    </w:rPr>
  </w:style>
  <w:style w:type="character" w:styleId="WWCharLFO1LVL8">
    <w:name w:val="WW_CharLFO1LVL8"/>
    <w:rPr>
      <w:rFonts w:ascii="OpenSymbol" w:hAnsi="OpenSymbol" w:eastAsia="OpenSymbol" w:cs="OpenSymbol"/>
    </w:rPr>
  </w:style>
  <w:style w:type="character" w:styleId="WWCharLFO1LVL9">
    <w:name w:val="WW_CharLFO1LVL9"/>
    <w:rPr>
      <w:rFonts w:ascii="OpenSymbol" w:hAnsi="OpenSymbol" w:eastAsia="OpenSymbol" w:cs="OpenSymbol"/>
    </w:rPr>
  </w:style>
  <w:style w:type="character" w:styleId="WWCharLFO3LVL1">
    <w:name w:val="WW_CharLFO3LVL1"/>
    <w:rPr>
      <w:rFonts w:ascii="Symbol" w:hAnsi="Symbol"/>
    </w:rPr>
  </w:style>
  <w:style w:type="character" w:styleId="WWCharLFO3LVL2">
    <w:name w:val="WW_CharLFO3LVL2"/>
    <w:rPr>
      <w:rFonts w:ascii="Courier New" w:hAnsi="Courier New" w:cs="Courier New"/>
    </w:rPr>
  </w:style>
  <w:style w:type="character" w:styleId="WWCharLFO3LVL3">
    <w:name w:val="WW_CharLFO3LVL3"/>
    <w:rPr>
      <w:rFonts w:ascii="Wingdings" w:hAnsi="Wingdings"/>
    </w:rPr>
  </w:style>
  <w:style w:type="character" w:styleId="WWCharLFO3LVL4">
    <w:name w:val="WW_CharLFO3LVL4"/>
    <w:rPr>
      <w:rFonts w:ascii="Symbol" w:hAnsi="Symbol"/>
    </w:rPr>
  </w:style>
  <w:style w:type="character" w:styleId="WWCharLFO3LVL5">
    <w:name w:val="WW_CharLFO3LVL5"/>
    <w:rPr>
      <w:rFonts w:ascii="Courier New" w:hAnsi="Courier New" w:cs="Courier New"/>
    </w:rPr>
  </w:style>
  <w:style w:type="character" w:styleId="WWCharLFO3LVL6">
    <w:name w:val="WW_CharLFO3LVL6"/>
    <w:rPr>
      <w:rFonts w:ascii="Wingdings" w:hAnsi="Wingdings"/>
    </w:rPr>
  </w:style>
  <w:style w:type="character" w:styleId="WWCharLFO3LVL7">
    <w:name w:val="WW_CharLFO3LVL7"/>
    <w:rPr>
      <w:rFonts w:ascii="Symbol" w:hAnsi="Symbol"/>
    </w:rPr>
  </w:style>
  <w:style w:type="character" w:styleId="WWCharLFO3LVL8">
    <w:name w:val="WW_CharLFO3LVL8"/>
    <w:rPr>
      <w:rFonts w:ascii="Courier New" w:hAnsi="Courier New" w:cs="Courier New"/>
    </w:rPr>
  </w:style>
  <w:style w:type="character" w:styleId="WWCharLFO3LVL9">
    <w:name w:val="WW_CharLFO3LVL9"/>
    <w:rPr>
      <w:rFonts w:ascii="Wingdings" w:hAnsi="Wingdings"/>
    </w:rPr>
  </w:style>
  <w:style w:type="character" w:styleId="EndnoteAnchor">
    <w:name w:val="Endnote Anchor"/>
    <w:rPr>
      <w:vertAlign w:val="superscript"/>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EndnoteCharacters">
    <w:name w:val="Endnote Characters"/>
    <w:rPr/>
  </w:style>
  <w:style w:type="paragraph" w:styleId="Heading">
    <w:name w:val="Heading"/>
    <w:basedOn w:val="Normal"/>
    <w:next w:val="TextBody"/>
    <w:pPr>
      <w:keepNext/>
      <w:suppressAutoHyphens w:val="true"/>
      <w:spacing w:before="240" w:after="120"/>
    </w:pPr>
    <w:rPr>
      <w:rFonts w:ascii="Liberation Sans" w:hAnsi="Liberation Sans" w:eastAsia="Droid Sans Fallback" w:cs="FreeSans"/>
      <w:sz w:val="28"/>
      <w:szCs w:val="28"/>
    </w:rPr>
  </w:style>
  <w:style w:type="paragraph" w:styleId="TextBody">
    <w:name w:val="Text Body"/>
    <w:basedOn w:val="Normal"/>
    <w:pPr>
      <w:suppressAutoHyphens w:val="true"/>
      <w:spacing w:lineRule="auto" w:line="288" w:before="0" w:after="140"/>
    </w:pPr>
    <w:rPr/>
  </w:style>
  <w:style w:type="paragraph" w:styleId="List">
    <w:name w:val="List"/>
    <w:basedOn w:val="TextBody"/>
    <w:pPr>
      <w:suppressAutoHyphens w:val="true"/>
    </w:pPr>
    <w:rPr>
      <w:rFonts w:cs="FreeSans"/>
    </w:rPr>
  </w:style>
  <w:style w:type="paragraph" w:styleId="Caption">
    <w:name w:val="Caption"/>
    <w:basedOn w:val="Normal"/>
    <w:pPr>
      <w:suppressLineNumbers/>
      <w:suppressAutoHyphens w:val="true"/>
      <w:spacing w:before="120" w:after="120"/>
    </w:pPr>
    <w:rPr>
      <w:rFonts w:cs="FreeSans"/>
      <w:i/>
      <w:iCs/>
      <w:sz w:val="24"/>
      <w:szCs w:val="24"/>
    </w:rPr>
  </w:style>
  <w:style w:type="paragraph" w:styleId="Index">
    <w:name w:val="Index"/>
    <w:basedOn w:val="Normal"/>
    <w:pPr>
      <w:suppressLineNumbers/>
      <w:suppressAutoHyphens w:val="true"/>
    </w:pPr>
    <w:rPr>
      <w:rFonts w:cs="FreeSans"/>
    </w:rPr>
  </w:style>
  <w:style w:type="paragraph" w:styleId="LONormal">
    <w:name w:val="LO-Normal"/>
    <w:pPr>
      <w:widowControl w:val="false"/>
      <w:pBdr>
        <w:top w:val="nil"/>
        <w:left w:val="nil"/>
        <w:bottom w:val="nil"/>
        <w:right w:val="nil"/>
      </w:pBdr>
      <w:suppressAutoHyphens w:val="false"/>
      <w:textAlignment w:val="baseline"/>
    </w:pPr>
    <w:rPr>
      <w:rFonts w:ascii="Liberation Serif" w:hAnsi="Liberation Serif" w:eastAsia="Droid Sans Fallback" w:cs="FreeSans"/>
      <w:i w:val="false"/>
      <w:iCs w:val="false"/>
      <w:caps w:val="false"/>
      <w:smallCaps w:val="false"/>
      <w:outline w:val="false"/>
      <w:emboss w:val="false"/>
      <w:imprint w:val="false"/>
      <w:color w:val="00000A"/>
      <w:spacing w:val="0"/>
      <w:w w:val="100"/>
      <w:position w:val="0"/>
      <w:sz w:val="24"/>
      <w:sz w:val="24"/>
      <w:szCs w:val="24"/>
      <w:shd w:fill="FFFFFF" w:val="clear"/>
      <w:vertAlign w:val="baseline"/>
      <w:em w:val="none"/>
      <w:lang w:val="en-US" w:eastAsia="zh-CN" w:bidi="hi-IN"/>
    </w:rPr>
  </w:style>
  <w:style w:type="paragraph" w:styleId="PreformattedText">
    <w:name w:val="Preformatted Text"/>
    <w:basedOn w:val="Normal"/>
    <w:pPr>
      <w:suppressAutoHyphens w:val="true"/>
    </w:pPr>
    <w:rPr>
      <w:rFonts w:ascii="Liberation Mono" w:hAnsi="Liberation Mono" w:cs="Liberation Mono"/>
      <w:sz w:val="20"/>
      <w:szCs w:val="20"/>
    </w:rPr>
  </w:style>
  <w:style w:type="paragraph" w:styleId="Quotations">
    <w:name w:val="Quotations"/>
    <w:basedOn w:val="Normal"/>
    <w:pPr>
      <w:suppressAutoHyphens w:val="true"/>
      <w:spacing w:before="0" w:after="283"/>
      <w:ind w:left="567" w:right="567" w:hanging="0"/>
    </w:pPr>
    <w:rPr/>
  </w:style>
  <w:style w:type="paragraph" w:styleId="Title">
    <w:name w:val="Title"/>
    <w:basedOn w:val="Heading"/>
    <w:pPr>
      <w:suppressAutoHyphens w:val="true"/>
      <w:jc w:val="center"/>
    </w:pPr>
    <w:rPr>
      <w:b/>
      <w:bCs/>
      <w:sz w:val="56"/>
      <w:szCs w:val="56"/>
    </w:rPr>
  </w:style>
  <w:style w:type="paragraph" w:styleId="Subtitle">
    <w:name w:val="Subtitle"/>
    <w:basedOn w:val="Heading"/>
    <w:pPr>
      <w:suppressAutoHyphens w:val="true"/>
      <w:spacing w:before="60" w:after="0"/>
      <w:jc w:val="center"/>
    </w:pPr>
    <w:rPr>
      <w:sz w:val="36"/>
      <w:szCs w:val="36"/>
    </w:rPr>
  </w:style>
  <w:style w:type="paragraph" w:styleId="Footnote">
    <w:name w:val="Footnote"/>
    <w:basedOn w:val="Normal"/>
    <w:pPr>
      <w:suppressLineNumbers/>
      <w:suppressAutoHyphens w:val="true"/>
      <w:ind w:left="339" w:right="0" w:hanging="339"/>
    </w:pPr>
    <w:rPr>
      <w:sz w:val="20"/>
      <w:szCs w:val="20"/>
    </w:rPr>
  </w:style>
  <w:style w:type="paragraph" w:styleId="NormalWeb">
    <w:name w:val="Normal (Web)"/>
    <w:basedOn w:val="Normal"/>
    <w:pPr>
      <w:suppressAutoHyphens w:val="true"/>
      <w:spacing w:before="280" w:after="280"/>
    </w:pPr>
    <w:rPr/>
  </w:style>
  <w:style w:type="paragraph" w:styleId="SourceCode">
    <w:name w:val="Source Code"/>
    <w:basedOn w:val="Normal"/>
    <w:pPr>
      <w:shd w:fill="F8F8F8" w:val="clear"/>
      <w:suppressAutoHyphens w:val="true"/>
    </w:pPr>
    <w:rPr/>
  </w:style>
  <w:style w:type="paragraph" w:styleId="Header">
    <w:name w:val="Header"/>
    <w:basedOn w:val="LONormal"/>
    <w:pPr>
      <w:tabs>
        <w:tab w:val="center" w:pos="4252" w:leader="none"/>
        <w:tab w:val="right" w:pos="8504" w:leader="none"/>
      </w:tabs>
      <w:suppressAutoHyphens w:val="true"/>
    </w:pPr>
    <w:rPr>
      <w:rFonts w:cs="Mangal"/>
      <w:szCs w:val="21"/>
    </w:rPr>
  </w:style>
  <w:style w:type="paragraph" w:styleId="Footer">
    <w:name w:val="Footer"/>
    <w:basedOn w:val="LONormal"/>
    <w:pPr>
      <w:tabs>
        <w:tab w:val="center" w:pos="4252" w:leader="none"/>
        <w:tab w:val="right" w:pos="8504" w:leader="none"/>
      </w:tabs>
      <w:suppressAutoHyphens w:val="true"/>
    </w:pPr>
    <w:rPr>
      <w:rFonts w:cs="Mangal"/>
      <w:szCs w:val="21"/>
    </w:rPr>
  </w:style>
  <w:style w:type="paragraph" w:styleId="BalloonText">
    <w:name w:val="Balloon Text"/>
    <w:basedOn w:val="LONormal"/>
    <w:pPr>
      <w:suppressAutoHyphens w:val="true"/>
    </w:pPr>
    <w:rPr>
      <w:rFonts w:ascii="Segoe UI" w:hAnsi="Segoe UI" w:cs="Mangal"/>
      <w:sz w:val="18"/>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2016-01-29T14:07:00Z</dcterms:created>
  <dc:creator>Rebecca Campoy</dc:creator>
  <dc:language>en-US</dc:language>
  <cp:lastModifiedBy>Laurie Kell</cp:lastModifiedBy>
  <cp:lastPrinted>2016-01-29T13:50:00Z</cp:lastPrinted>
  <dcterms:modified xsi:type="dcterms:W3CDTF">2016-01-29T14:07:00Z</dcterms:modified>
  <cp:revision>2</cp:revision>
</cp:coreProperties>
</file>