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footer1.xml" ContentType="application/vnd.openxmlformats-officedocument.wordprocessingml.footer+xml"/>
  <Override PartName="/word/media/image21.png" ContentType="image/png"/>
  <Override PartName="/word/media/image20.png" ContentType="image/png"/>
  <Override PartName="/word/media/image19.png" ContentType="image/png"/>
  <Override PartName="/word/media/image17.png" ContentType="image/png"/>
  <Override PartName="/word/media/image14.png" ContentType="image/png"/>
  <Override PartName="/word/media/image16.png" ContentType="image/png"/>
  <Override PartName="/word/media/image13.png" ContentType="image/png"/>
  <Override PartName="/word/media/image12.png" ContentType="image/png"/>
  <Override PartName="/word/media/image10.png" ContentType="image/png"/>
  <Override PartName="/word/media/image9.png" ContentType="image/png"/>
  <Override PartName="/word/media/image15.png" ContentType="image/png"/>
  <Override PartName="/word/media/image8.png" ContentType="image/png"/>
  <Override PartName="/word/media/image6.png" ContentType="image/png"/>
  <Override PartName="/word/media/image5.png" ContentType="image/png"/>
  <Override PartName="/word/media/image18.png" ContentType="image/png"/>
  <Override PartName="/word/media/image4.png" ContentType="image/png"/>
  <Override PartName="/word/media/image7.png" ContentType="image/png"/>
  <Override PartName="/word/media/image3.png" ContentType="image/png"/>
  <Override PartName="/word/media/image2.png" ContentType="image/png"/>
  <Override PartName="/word/media/image1.png" ContentType="image/png"/>
  <Override PartName="/word/media/image11.png" ContentType="image/png"/>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PreformattedText"/>
        <w:pageBreakBefore/>
        <w:jc w:val="center"/>
        <w:rPr>
          <w:rFonts w:ascii="Times New Roman" w:hAnsi="Times New Roman"/>
          <w:b/>
          <w:sz w:val="24"/>
          <w:szCs w:val="24"/>
        </w:rPr>
      </w:pPr>
      <w:r>
        <w:rPr>
          <w:rFonts w:ascii="Times New Roman" w:hAnsi="Times New Roman"/>
          <w:b/>
          <w:sz w:val="24"/>
          <w:szCs w:val="24"/>
        </w:rPr>
      </w:r>
    </w:p>
    <w:p>
      <w:pPr>
        <w:pStyle w:val="PreformattedText"/>
        <w:jc w:val="center"/>
        <w:rPr>
          <w:rFonts w:ascii="Times New Roman" w:hAnsi="Times New Roman"/>
          <w:b/>
          <w:sz w:val="24"/>
          <w:szCs w:val="24"/>
        </w:rPr>
      </w:pPr>
      <w:r>
        <w:rPr>
          <w:rFonts w:ascii="Times New Roman" w:hAnsi="Times New Roman"/>
          <w:b/>
          <w:sz w:val="24"/>
          <w:szCs w:val="24"/>
        </w:rPr>
        <w:t>VALIDATION OF THE BIOMASS DYNAMIC STOCK ASSESSMENT MODEL FOR USE IN A MANAGEMENT PROCEDURE.</w:t>
      </w:r>
    </w:p>
    <w:p>
      <w:pPr>
        <w:pStyle w:val="Normal"/>
        <w:jc w:val="center"/>
        <w:rPr>
          <w:b/>
          <w:sz w:val="22"/>
          <w:szCs w:val="22"/>
        </w:rPr>
      </w:pPr>
      <w:r>
        <w:rPr>
          <w:b/>
          <w:sz w:val="22"/>
          <w:szCs w:val="22"/>
        </w:rPr>
      </w:r>
    </w:p>
    <w:p>
      <w:pPr>
        <w:pStyle w:val="Normal"/>
        <w:tabs>
          <w:tab w:val="left" w:pos="9356" w:leader="none"/>
        </w:tabs>
        <w:ind w:left="0" w:right="-36" w:hanging="0"/>
        <w:jc w:val="center"/>
        <w:rPr>
          <w:spacing w:val="-2"/>
          <w:sz w:val="22"/>
          <w:szCs w:val="22"/>
        </w:rPr>
      </w:pPr>
      <w:r>
        <w:rPr>
          <w:spacing w:val="-2"/>
          <w:sz w:val="22"/>
          <w:szCs w:val="22"/>
        </w:rPr>
      </w:r>
    </w:p>
    <w:p>
      <w:pPr>
        <w:pStyle w:val="Normal"/>
        <w:tabs>
          <w:tab w:val="left" w:pos="9356" w:leader="none"/>
        </w:tabs>
        <w:ind w:left="0" w:right="-36" w:hanging="0"/>
        <w:jc w:val="center"/>
        <w:rPr>
          <w:spacing w:val="-2"/>
          <w:sz w:val="22"/>
          <w:szCs w:val="22"/>
          <w:lang w:val="en-GB"/>
        </w:rPr>
      </w:pPr>
      <w:r>
        <w:rPr>
          <w:spacing w:val="-2"/>
          <w:sz w:val="22"/>
          <w:szCs w:val="22"/>
          <w:lang w:val="en-GB"/>
        </w:rPr>
        <w:t>Laurence Kell</w:t>
      </w:r>
      <w:r>
        <w:rPr>
          <w:rStyle w:val="FootnoteAnchor"/>
          <w:spacing w:val="-2"/>
          <w:sz w:val="22"/>
          <w:szCs w:val="22"/>
          <w:lang w:val="en-GB"/>
        </w:rPr>
        <w:footnoteReference w:id="2"/>
      </w:r>
      <w:r>
        <w:rPr>
          <w:rStyle w:val="FootnoteCharacters"/>
          <w:spacing w:val="-2"/>
          <w:sz w:val="22"/>
          <w:szCs w:val="22"/>
          <w:lang w:val="en-GB"/>
        </w:rPr>
        <w:t>,</w:t>
      </w:r>
      <w:r>
        <w:rPr>
          <w:spacing w:val="-2"/>
          <w:sz w:val="22"/>
          <w:szCs w:val="22"/>
          <w:lang w:val="en-GB"/>
        </w:rPr>
        <w:t xml:space="preserve"> Haritz Arrizabalaga</w:t>
      </w:r>
      <w:r>
        <w:rPr>
          <w:rStyle w:val="FootnoteAnchor"/>
          <w:spacing w:val="-2"/>
          <w:sz w:val="22"/>
          <w:szCs w:val="22"/>
          <w:lang w:val="en-GB"/>
        </w:rPr>
        <w:footnoteReference w:id="3"/>
      </w:r>
      <w:r>
        <w:rPr>
          <w:spacing w:val="-2"/>
          <w:sz w:val="22"/>
          <w:szCs w:val="22"/>
          <w:lang w:val="en-GB"/>
        </w:rPr>
        <w:t>, Gorka Merino</w:t>
      </w:r>
      <w:r>
        <w:rPr>
          <w:spacing w:val="-2"/>
          <w:sz w:val="22"/>
          <w:szCs w:val="22"/>
          <w:vertAlign w:val="superscript"/>
          <w:lang w:val="en-GB"/>
        </w:rPr>
        <w:t>2</w:t>
      </w:r>
      <w:r>
        <w:rPr>
          <w:spacing w:val="-2"/>
          <w:sz w:val="22"/>
          <w:szCs w:val="22"/>
          <w:lang w:val="en-GB"/>
        </w:rPr>
        <w:t xml:space="preserve"> and Paul De Bruyn</w:t>
      </w:r>
      <w:r>
        <w:rPr>
          <w:spacing w:val="-2"/>
          <w:sz w:val="22"/>
          <w:szCs w:val="22"/>
          <w:vertAlign w:val="superscript"/>
          <w:lang w:val="en-GB"/>
        </w:rPr>
        <w:t>1</w:t>
      </w:r>
      <w:r>
        <w:rPr>
          <w:spacing w:val="-2"/>
          <w:sz w:val="22"/>
          <w:szCs w:val="22"/>
          <w:lang w:val="en-GB"/>
        </w:rPr>
        <w:t xml:space="preserve"> </w:t>
      </w:r>
    </w:p>
    <w:p>
      <w:pPr>
        <w:pStyle w:val="Normal"/>
        <w:spacing w:lineRule="exact" w:line="220" w:before="11" w:after="0"/>
        <w:rPr/>
      </w:pPr>
      <w:r>
        <w:rPr/>
      </w:r>
    </w:p>
    <w:p>
      <w:pPr>
        <w:pStyle w:val="Normal"/>
        <w:spacing w:lineRule="exact" w:line="220" w:before="11" w:after="0"/>
        <w:rPr/>
      </w:pPr>
      <w:r>
        <w:rPr/>
      </w:r>
    </w:p>
    <w:p>
      <w:pPr>
        <w:pStyle w:val="Normal"/>
        <w:spacing w:lineRule="exact" w:line="200"/>
        <w:ind w:left="680" w:right="680" w:hanging="0"/>
        <w:jc w:val="center"/>
        <w:rPr>
          <w:i/>
          <w:sz w:val="20"/>
          <w:szCs w:val="20"/>
        </w:rPr>
      </w:pPr>
      <w:r>
        <w:rPr>
          <w:i/>
          <w:sz w:val="20"/>
          <w:szCs w:val="20"/>
        </w:rPr>
        <w:t>SUMMARY</w:t>
      </w:r>
    </w:p>
    <w:p>
      <w:pPr>
        <w:pStyle w:val="Normal"/>
        <w:ind w:left="680" w:right="680" w:hanging="0"/>
        <w:jc w:val="both"/>
        <w:rPr>
          <w:rFonts w:ascii="Times New Roman" w:hAnsi="Times New Roman"/>
          <w:i/>
          <w:sz w:val="22"/>
          <w:szCs w:val="22"/>
        </w:rPr>
      </w:pPr>
      <w:r>
        <w:rPr>
          <w:rFonts w:ascii="Times New Roman" w:hAnsi="Times New Roman"/>
          <w:i/>
          <w:sz w:val="22"/>
          <w:szCs w:val="22"/>
        </w:rPr>
      </w:r>
    </w:p>
    <w:p>
      <w:pPr>
        <w:pStyle w:val="Normal"/>
        <w:ind w:left="680" w:right="680" w:hanging="0"/>
        <w:jc w:val="both"/>
        <w:rPr>
          <w:rFonts w:ascii="Times New Roman" w:hAnsi="Times New Roman"/>
          <w:i/>
          <w:sz w:val="22"/>
          <w:szCs w:val="22"/>
        </w:rPr>
      </w:pPr>
      <w:r>
        <w:rPr>
          <w:rFonts w:ascii="Times New Roman" w:hAnsi="Times New Roman"/>
          <w:i/>
          <w:sz w:val="22"/>
          <w:szCs w:val="22"/>
        </w:rPr>
        <w:t>mpb is an R Package for modelling Management Procedures, based on biomass dynamic stock assessment models and empirical harvest control rules. A Management Procedure is the combination of predefined data, together with an algorithm to estimate stock trends or status and to set management measures such as a total allowable catch. Management Procedures are simulation tested by conducting Management Strategy Evaluation. To validate the biomass stock assessment algorithms incorporated in the mpb package and used in the Management Procedure, the fits obtained with the biodyn assessment class are compared to the estimates made using another biomass dynamic model (ASPIC) by the SCRS for North Atlantic albacore.</w:t>
      </w:r>
    </w:p>
    <w:p>
      <w:pPr>
        <w:pStyle w:val="Normal"/>
        <w:ind w:left="680" w:right="680" w:hanging="0"/>
        <w:jc w:val="both"/>
        <w:rPr>
          <w:rFonts w:ascii="Times New Roman" w:hAnsi="Times New Roman"/>
          <w:i/>
          <w:sz w:val="22"/>
          <w:szCs w:val="22"/>
        </w:rPr>
      </w:pPr>
      <w:r>
        <w:rPr>
          <w:rFonts w:ascii="Times New Roman" w:hAnsi="Times New Roman"/>
          <w:i/>
          <w:sz w:val="22"/>
          <w:szCs w:val="22"/>
        </w:rPr>
      </w:r>
    </w:p>
    <w:p>
      <w:pPr>
        <w:pStyle w:val="Normal"/>
        <w:ind w:left="680" w:right="680" w:hanging="0"/>
        <w:jc w:val="center"/>
        <w:rPr>
          <w:i/>
          <w:sz w:val="20"/>
          <w:szCs w:val="20"/>
        </w:rPr>
      </w:pPr>
      <w:r>
        <w:rPr>
          <w:i/>
          <w:sz w:val="20"/>
          <w:szCs w:val="20"/>
        </w:rPr>
        <w:t>KEYWORDS</w:t>
      </w:r>
    </w:p>
    <w:p>
      <w:pPr>
        <w:pStyle w:val="Normal"/>
        <w:ind w:left="680" w:right="680" w:hanging="0"/>
        <w:jc w:val="center"/>
        <w:rPr>
          <w:i/>
          <w:sz w:val="20"/>
          <w:szCs w:val="20"/>
        </w:rPr>
      </w:pPr>
      <w:r>
        <w:rPr>
          <w:i/>
          <w:sz w:val="20"/>
          <w:szCs w:val="20"/>
        </w:rPr>
        <w:t>Biomass Dynamic, Management Procedure, Management Strategy Evaluation, Stock</w:t>
      </w:r>
    </w:p>
    <w:p>
      <w:pPr>
        <w:sectPr>
          <w:headerReference w:type="default" r:id="rId2"/>
          <w:headerReference w:type="first" r:id="rId3"/>
          <w:footnotePr>
            <w:numFmt w:val="decimal"/>
          </w:footnotePr>
          <w:type w:val="nextPage"/>
          <w:pgSz w:w="11906" w:h="16838"/>
          <w:pgMar w:left="1418" w:right="1418" w:header="0" w:top="851" w:footer="0" w:bottom="1134" w:gutter="0"/>
          <w:pgNumType w:fmt="decimal"/>
          <w:formProt w:val="false"/>
          <w:titlePg/>
          <w:textDirection w:val="lrTb"/>
          <w:docGrid w:type="default" w:linePitch="240" w:charSpace="4294961151"/>
        </w:sectPr>
        <w:pStyle w:val="Normal"/>
        <w:ind w:left="680" w:right="680" w:hanging="0"/>
        <w:jc w:val="center"/>
        <w:rPr>
          <w:i/>
          <w:sz w:val="20"/>
          <w:szCs w:val="20"/>
        </w:rPr>
      </w:pPr>
      <w:r>
        <w:rPr>
          <w:i/>
          <w:sz w:val="20"/>
          <w:szCs w:val="20"/>
        </w:rPr>
        <w:t>Assessment, Validation</w:t>
      </w:r>
    </w:p>
    <w:p>
      <w:pPr>
        <w:pStyle w:val="Heading1"/>
        <w:pageBreakBefore/>
        <w:numPr>
          <w:ilvl w:val="0"/>
          <w:numId w:val="1"/>
        </w:numPr>
        <w:tabs>
          <w:tab w:val="left" w:pos="0" w:leader="none"/>
        </w:tabs>
        <w:rPr>
          <w:rFonts w:ascii="Times New Roman" w:hAnsi="Times New Roman"/>
          <w:sz w:val="20"/>
          <w:szCs w:val="20"/>
        </w:rPr>
      </w:pPr>
      <w:r>
        <w:rPr>
          <w:rFonts w:ascii="Times New Roman" w:hAnsi="Times New Roman"/>
          <w:sz w:val="20"/>
          <w:szCs w:val="20"/>
        </w:rPr>
        <w:t>Introduction</w:t>
      </w:r>
    </w:p>
    <w:p>
      <w:pPr>
        <w:pStyle w:val="Normal"/>
        <w:jc w:val="both"/>
        <w:rPr>
          <w:rFonts w:ascii="Times New Roman" w:hAnsi="Times New Roman"/>
          <w:sz w:val="20"/>
          <w:szCs w:val="20"/>
        </w:rPr>
      </w:pPr>
      <w:r>
        <w:rPr>
          <w:rFonts w:ascii="Times New Roman" w:hAnsi="Times New Roman"/>
          <w:sz w:val="20"/>
          <w:szCs w:val="20"/>
        </w:rPr>
        <w:t>mpb is an R Package for modelling Management Procedures, based on biomass dynamic stock assessment models and empirical harvest control rules. Where a Management Procedure is the combination of predefined data, together with an algorithm to estimate stock trends or current status and to set management measures such as a total allowable catch. Management Procedures are simulation tested by conducting Management Strategy Evaluation. To validate the biomass stock assessment algorithms used in the Management Procedure (i.e. in the mpb package) the fits obtained are compared to the estimates made by the SCRS for North Atlantic albacore.</w:t>
      </w:r>
    </w:p>
    <w:p>
      <w:pPr>
        <w:pStyle w:val="Normal"/>
        <w:jc w:val="both"/>
        <w:rPr>
          <w:rFonts w:ascii="Times New Roman" w:hAnsi="Times New Roman"/>
          <w:sz w:val="20"/>
          <w:szCs w:val="20"/>
        </w:rPr>
      </w:pPr>
      <w:r>
        <w:rPr>
          <w:rFonts w:ascii="Times New Roman" w:hAnsi="Times New Roman"/>
          <w:sz w:val="20"/>
          <w:szCs w:val="20"/>
        </w:rPr>
      </w:r>
    </w:p>
    <w:p>
      <w:pPr>
        <w:pStyle w:val="Normal"/>
        <w:jc w:val="both"/>
        <w:rPr>
          <w:rFonts w:ascii="Times New Roman" w:hAnsi="Times New Roman"/>
          <w:sz w:val="20"/>
          <w:szCs w:val="20"/>
        </w:rPr>
      </w:pPr>
      <w:r>
        <w:rPr>
          <w:rFonts w:ascii="Times New Roman" w:hAnsi="Times New Roman"/>
          <w:sz w:val="20"/>
          <w:szCs w:val="20"/>
        </w:rPr>
        <w:t>The software used by the SCRS in 2013 to conduct the biomass based assessment was ASPIC (Prager, 1994) . ASPIC is already in the ICCAT software catalogue and the mpb assessment routines are validated by replicating the SCRS assessment.</w:t>
      </w:r>
    </w:p>
    <w:p>
      <w:pPr>
        <w:pStyle w:val="Heading1"/>
        <w:numPr>
          <w:ilvl w:val="0"/>
          <w:numId w:val="1"/>
        </w:numPr>
        <w:tabs>
          <w:tab w:val="left" w:pos="0" w:leader="none"/>
        </w:tabs>
        <w:jc w:val="both"/>
        <w:rPr>
          <w:rFonts w:ascii="Times New Roman" w:hAnsi="Times New Roman"/>
          <w:sz w:val="20"/>
          <w:szCs w:val="20"/>
        </w:rPr>
      </w:pPr>
      <w:r>
        <w:rPr>
          <w:rFonts w:ascii="Times New Roman" w:hAnsi="Times New Roman"/>
          <w:sz w:val="20"/>
          <w:szCs w:val="20"/>
        </w:rPr>
        <w:t>Material and Methods</w:t>
      </w:r>
    </w:p>
    <w:p>
      <w:pPr>
        <w:pStyle w:val="TextBody"/>
        <w:spacing w:lineRule="auto" w:line="240"/>
        <w:jc w:val="both"/>
        <w:rPr>
          <w:rFonts w:ascii="Times New Roman" w:hAnsi="Times New Roman"/>
          <w:b/>
          <w:bCs/>
          <w:i/>
          <w:iCs/>
          <w:sz w:val="20"/>
          <w:szCs w:val="20"/>
        </w:rPr>
      </w:pPr>
      <w:r>
        <w:rPr>
          <w:rFonts w:ascii="Times New Roman" w:hAnsi="Times New Roman"/>
          <w:b/>
          <w:bCs/>
          <w:i/>
          <w:iCs/>
          <w:sz w:val="20"/>
          <w:szCs w:val="20"/>
        </w:rPr>
        <w:t>Material</w:t>
      </w:r>
    </w:p>
    <w:p>
      <w:pPr>
        <w:pStyle w:val="TextBody"/>
        <w:spacing w:lineRule="auto" w:line="240"/>
        <w:jc w:val="both"/>
        <w:rPr>
          <w:rFonts w:ascii="Times New Roman" w:hAnsi="Times New Roman"/>
          <w:sz w:val="20"/>
          <w:szCs w:val="20"/>
        </w:rPr>
      </w:pPr>
      <w:r>
        <w:rPr>
          <w:rFonts w:ascii="Times New Roman" w:hAnsi="Times New Roman"/>
          <w:sz w:val="20"/>
          <w:szCs w:val="20"/>
        </w:rPr>
        <w:t>In the 2013 assessment seven scenarios were considered based on different combinations of the available CPUE series (</w:t>
      </w:r>
      <w:r>
        <w:rPr>
          <w:rFonts w:ascii="Times New Roman" w:hAnsi="Times New Roman"/>
          <w:b/>
          <w:bCs/>
          <w:sz w:val="20"/>
          <w:szCs w:val="20"/>
        </w:rPr>
        <w:t>Table 1</w:t>
      </w:r>
      <w:r>
        <w:rPr>
          <w:rFonts w:ascii="Times New Roman" w:hAnsi="Times New Roman"/>
          <w:sz w:val="20"/>
          <w:szCs w:val="20"/>
        </w:rPr>
        <w:t xml:space="preserve">). The time series used in 2013 are shown in </w:t>
      </w:r>
      <w:r>
        <w:rPr>
          <w:rFonts w:ascii="Times New Roman" w:hAnsi="Times New Roman"/>
          <w:b/>
          <w:bCs/>
          <w:sz w:val="20"/>
          <w:szCs w:val="20"/>
        </w:rPr>
        <w:t>Figure 1</w:t>
      </w:r>
      <w:r>
        <w:rPr>
          <w:rFonts w:ascii="Times New Roman" w:hAnsi="Times New Roman"/>
          <w:sz w:val="20"/>
          <w:szCs w:val="20"/>
        </w:rPr>
        <w:t xml:space="preserve">; points are the standardised indices, the red line is a common loess smoother fitted to all series and the blue a loess smoother fitted by series. </w:t>
      </w:r>
    </w:p>
    <w:p>
      <w:pPr>
        <w:pStyle w:val="TextBody"/>
        <w:spacing w:lineRule="auto" w:line="240"/>
        <w:jc w:val="both"/>
        <w:rPr>
          <w:rFonts w:ascii="Times New Roman" w:hAnsi="Times New Roman"/>
          <w:sz w:val="20"/>
          <w:szCs w:val="20"/>
        </w:rPr>
      </w:pPr>
      <w:r>
        <w:rPr>
          <w:rFonts w:ascii="Times New Roman" w:hAnsi="Times New Roman"/>
          <w:b/>
          <w:bCs/>
          <w:sz w:val="20"/>
          <w:szCs w:val="20"/>
        </w:rPr>
        <w:t>Figure 2</w:t>
      </w:r>
      <w:r>
        <w:rPr>
          <w:rFonts w:ascii="Times New Roman" w:hAnsi="Times New Roman"/>
          <w:sz w:val="20"/>
          <w:szCs w:val="20"/>
        </w:rPr>
        <w:t xml:space="preserve"> is a visual representation of an hierachical cluster analysis of the series; the depth of blue indicates the strength of the positive correlation between pairs of series. Two clusters are seen, i.e. the Japanese longline and the split Chinese-Taipei indices and Combined Troll.</w:t>
      </w:r>
    </w:p>
    <w:p>
      <w:pPr>
        <w:pStyle w:val="TextBody"/>
        <w:spacing w:lineRule="auto" w:line="240"/>
        <w:jc w:val="both"/>
        <w:rPr>
          <w:rFonts w:ascii="Times New Roman" w:hAnsi="Times New Roman"/>
          <w:b/>
          <w:bCs/>
          <w:i/>
          <w:iCs/>
          <w:sz w:val="20"/>
          <w:szCs w:val="20"/>
        </w:rPr>
      </w:pPr>
      <w:bookmarkStart w:id="0" w:name="__DdeLink__128_1174051274"/>
      <w:bookmarkEnd w:id="0"/>
      <w:r>
        <w:rPr>
          <w:rFonts w:ascii="Times New Roman" w:hAnsi="Times New Roman"/>
          <w:b/>
          <w:bCs/>
          <w:i/>
          <w:iCs/>
          <w:sz w:val="20"/>
          <w:szCs w:val="20"/>
        </w:rPr>
        <w:t>Methods</w:t>
      </w:r>
    </w:p>
    <w:p>
      <w:pPr>
        <w:pStyle w:val="TextBody"/>
        <w:spacing w:lineRule="auto" w:line="240"/>
        <w:jc w:val="both"/>
        <w:rPr>
          <w:rFonts w:ascii="Times New Roman" w:hAnsi="Times New Roman"/>
          <w:sz w:val="20"/>
          <w:szCs w:val="20"/>
        </w:rPr>
      </w:pPr>
      <w:bookmarkStart w:id="1" w:name="__DdeLink__128_11740512741"/>
      <w:bookmarkEnd w:id="1"/>
      <w:r>
        <w:rPr>
          <w:rFonts w:ascii="Times New Roman" w:hAnsi="Times New Roman"/>
          <w:sz w:val="20"/>
          <w:szCs w:val="20"/>
        </w:rPr>
        <w:t xml:space="preserve">First the estimates obtained by the aspic stock assessment procedure in the mpb package were compared with those obtained by the albacore stock assessment working group. Profiles of the objective function  were calculated by fixing carrying capacity (K) at a range of values and then estimating the other parameters (Kell et al., 2013a). This allowed  to check that the assessments ran in 2013 had converged to a unique solution. </w:t>
      </w:r>
    </w:p>
    <w:p>
      <w:pPr>
        <w:pStyle w:val="TextBody"/>
        <w:spacing w:lineRule="auto" w:line="240"/>
        <w:jc w:val="both"/>
        <w:rPr>
          <w:rFonts w:ascii="Times New Roman" w:hAnsi="Times New Roman"/>
          <w:sz w:val="20"/>
          <w:szCs w:val="20"/>
        </w:rPr>
      </w:pPr>
      <w:r>
        <w:rPr>
          <w:rFonts w:ascii="Times New Roman" w:hAnsi="Times New Roman"/>
          <w:sz w:val="20"/>
          <w:szCs w:val="20"/>
        </w:rPr>
        <w:t xml:space="preserve">The population model was then validated by projecting the stock for the reported catch and estimated parameters. Following which the biodyn biomass dynamic assessment procedure (Kell et al., 2013b) was fitted to the data and the times series and objective functions, obtained from aspic and biodyn, compared. </w:t>
      </w:r>
    </w:p>
    <w:p>
      <w:pPr>
        <w:pStyle w:val="TextBody"/>
        <w:spacing w:lineRule="auto" w:line="240"/>
        <w:jc w:val="both"/>
        <w:rPr>
          <w:rFonts w:ascii="Times New Roman" w:hAnsi="Times New Roman"/>
          <w:sz w:val="20"/>
          <w:szCs w:val="20"/>
        </w:rPr>
      </w:pPr>
      <w:r>
        <w:rPr>
          <w:rFonts w:ascii="Times New Roman" w:hAnsi="Times New Roman"/>
          <w:sz w:val="20"/>
          <w:szCs w:val="20"/>
        </w:rPr>
        <w:t>Finally a jack knife was conducted to evaluate the stability of the assessments, i.e. whether the addition or the change of a single point have a big effect or not.</w:t>
      </w:r>
    </w:p>
    <w:p>
      <w:pPr>
        <w:pStyle w:val="Normal"/>
        <w:jc w:val="both"/>
        <w:rPr>
          <w:rFonts w:ascii="Times New Roman" w:hAnsi="Times New Roman"/>
          <w:sz w:val="20"/>
          <w:szCs w:val="20"/>
        </w:rPr>
      </w:pPr>
      <w:r>
        <w:rPr>
          <w:rFonts w:ascii="Times New Roman" w:hAnsi="Times New Roman"/>
          <w:sz w:val="20"/>
          <w:szCs w:val="20"/>
        </w:rPr>
      </w:r>
    </w:p>
    <w:p>
      <w:pPr>
        <w:pStyle w:val="Normal"/>
        <w:jc w:val="both"/>
        <w:rPr>
          <w:rFonts w:ascii="Times New Roman" w:hAnsi="Times New Roman"/>
          <w:sz w:val="20"/>
          <w:szCs w:val="20"/>
        </w:rPr>
      </w:pPr>
      <w:r>
        <w:rPr>
          <w:rFonts w:ascii="Times New Roman" w:hAnsi="Times New Roman"/>
          <w:sz w:val="20"/>
          <w:szCs w:val="20"/>
        </w:rPr>
        <w:t>In a biomass dynamic model the stock next year (B</w:t>
      </w:r>
      <w:r>
        <w:rPr>
          <w:rFonts w:ascii="Times New Roman" w:hAnsi="Times New Roman"/>
          <w:sz w:val="20"/>
          <w:szCs w:val="20"/>
          <w:vertAlign w:val="subscript"/>
        </w:rPr>
        <w:t>t+1</w:t>
      </w:r>
      <w:r>
        <w:rPr>
          <w:rFonts w:ascii="Times New Roman" w:hAnsi="Times New Roman"/>
          <w:sz w:val="20"/>
          <w:szCs w:val="20"/>
        </w:rPr>
        <w:t>) is the sum of the current biomass (B</w:t>
      </w:r>
      <w:r>
        <w:rPr>
          <w:rFonts w:ascii="Times New Roman" w:hAnsi="Times New Roman"/>
          <w:sz w:val="20"/>
          <w:szCs w:val="20"/>
          <w:vertAlign w:val="subscript"/>
        </w:rPr>
        <w:t>t</w:t>
      </w:r>
      <w:r>
        <w:rPr>
          <w:rFonts w:ascii="Times New Roman" w:hAnsi="Times New Roman"/>
          <w:sz w:val="20"/>
          <w:szCs w:val="20"/>
        </w:rPr>
        <w:t>) less the catch (C</w:t>
      </w:r>
      <w:r>
        <w:rPr>
          <w:rFonts w:ascii="Times New Roman" w:hAnsi="Times New Roman"/>
          <w:sz w:val="20"/>
          <w:szCs w:val="20"/>
          <w:vertAlign w:val="subscript"/>
        </w:rPr>
        <w:t xml:space="preserve">t </w:t>
      </w:r>
      <w:r>
        <w:rPr>
          <w:rFonts w:ascii="Times New Roman" w:hAnsi="Times New Roman"/>
          <w:sz w:val="20"/>
          <w:szCs w:val="20"/>
        </w:rPr>
        <w:t>) plus the surplus production (P</w:t>
      </w:r>
      <w:r>
        <w:rPr>
          <w:rFonts w:ascii="Times New Roman" w:hAnsi="Times New Roman"/>
          <w:sz w:val="20"/>
          <w:szCs w:val="20"/>
          <w:vertAlign w:val="subscript"/>
        </w:rPr>
        <w:t>t</w:t>
      </w:r>
      <w:r>
        <w:rPr>
          <w:rFonts w:ascii="Times New Roman" w:hAnsi="Times New Roman"/>
          <w:sz w:val="20"/>
          <w:szCs w:val="20"/>
        </w:rPr>
        <w:t xml:space="preserve">) i.e. </w:t>
      </w:r>
    </w:p>
    <w:p>
      <w:pPr>
        <w:pStyle w:val="Normal"/>
        <w:jc w:val="both"/>
        <w:rPr>
          <w:rFonts w:ascii="Times New Roman" w:hAnsi="Times New Roman"/>
          <w:sz w:val="20"/>
          <w:szCs w:val="20"/>
        </w:rPr>
      </w:pPr>
      <w:r>
        <w:rPr>
          <w:rFonts w:ascii="Times New Roman" w:hAnsi="Times New Roman"/>
          <w:sz w:val="20"/>
          <w:szCs w:val="20"/>
        </w:rPr>
        <w:t xml:space="preserve"> </w:t>
        <w:drawing>
          <wp:anchor behindDoc="0" distT="0" distB="0" distL="0" distR="0" simplePos="0" locked="0" layoutInCell="1" allowOverlap="1" relativeHeight="0">
            <wp:simplePos x="0" y="0"/>
            <wp:positionH relativeFrom="column">
              <wp:align>center</wp:align>
            </wp:positionH>
            <wp:positionV relativeFrom="paragraph">
              <wp:align>top</wp:align>
            </wp:positionV>
            <wp:extent cx="2508885" cy="518795"/>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4"/>
                    <a:stretch>
                      <a:fillRect/>
                    </a:stretch>
                  </pic:blipFill>
                  <pic:spPr bwMode="auto">
                    <a:xfrm>
                      <a:off x="0" y="0"/>
                      <a:ext cx="2508885" cy="518795"/>
                    </a:xfrm>
                    <a:prstGeom prst="rect">
                      <a:avLst/>
                    </a:prstGeom>
                    <a:noFill/>
                    <a:ln w="9525">
                      <a:noFill/>
                      <a:miter lim="800000"/>
                      <a:headEnd/>
                      <a:tailEnd/>
                    </a:ln>
                  </pic:spPr>
                </pic:pic>
              </a:graphicData>
            </a:graphic>
          </wp:anchor>
        </w:drawing>
      </w:r>
    </w:p>
    <w:p>
      <w:pPr>
        <w:pStyle w:val="Normal"/>
        <w:jc w:val="both"/>
        <w:rPr>
          <w:rFonts w:ascii="Times New Roman" w:hAnsi="Times New Roman"/>
          <w:sz w:val="20"/>
          <w:szCs w:val="20"/>
        </w:rPr>
      </w:pPr>
      <w:r>
        <w:rPr>
          <w:rFonts w:ascii="Times New Roman" w:hAnsi="Times New Roman"/>
          <w:sz w:val="20"/>
          <w:szCs w:val="20"/>
        </w:rPr>
      </w:r>
    </w:p>
    <w:p>
      <w:pPr>
        <w:pStyle w:val="Normal"/>
        <w:jc w:val="both"/>
        <w:rPr>
          <w:rFonts w:ascii="Times New Roman" w:hAnsi="Times New Roman"/>
          <w:sz w:val="20"/>
          <w:szCs w:val="20"/>
        </w:rPr>
      </w:pPr>
      <w:r>
        <w:rPr>
          <w:rFonts w:ascii="Times New Roman" w:hAnsi="Times New Roman"/>
          <w:sz w:val="20"/>
          <w:szCs w:val="20"/>
        </w:rPr>
      </w:r>
    </w:p>
    <w:p>
      <w:pPr>
        <w:pStyle w:val="Normal"/>
        <w:jc w:val="both"/>
        <w:rPr>
          <w:rFonts w:ascii="Times New Roman" w:hAnsi="Times New Roman"/>
          <w:sz w:val="20"/>
          <w:szCs w:val="20"/>
        </w:rPr>
      </w:pPr>
      <w:r>
        <w:rPr>
          <w:rFonts w:ascii="Times New Roman" w:hAnsi="Times New Roman"/>
          <w:sz w:val="20"/>
          <w:szCs w:val="20"/>
        </w:rPr>
      </w:r>
    </w:p>
    <w:p>
      <w:pPr>
        <w:pStyle w:val="Normal"/>
        <w:jc w:val="both"/>
        <w:rPr>
          <w:rFonts w:ascii="Times New Roman" w:hAnsi="Times New Roman"/>
          <w:sz w:val="20"/>
          <w:szCs w:val="20"/>
        </w:rPr>
      </w:pPr>
      <w:r>
        <w:rPr>
          <w:rFonts w:ascii="Times New Roman" w:hAnsi="Times New Roman"/>
          <w:sz w:val="20"/>
          <w:szCs w:val="20"/>
        </w:rPr>
        <w:t>There are various forms of production functions (Pt), e.g. the symmetric logistic (Hassell, 1975) or the generalised Pella and Tomlinson (1969) forms. The logistic production function is probably not appropriate for tuna species, due to high steepness (Maunder, 2003) and a Pell-Tomlinson form with B</w:t>
      </w:r>
      <w:r>
        <w:rPr>
          <w:rFonts w:ascii="Times New Roman" w:hAnsi="Times New Roman"/>
          <w:sz w:val="20"/>
          <w:szCs w:val="20"/>
          <w:vertAlign w:val="subscript"/>
        </w:rPr>
        <w:t>MSY</w:t>
      </w:r>
      <w:r>
        <w:rPr>
          <w:rFonts w:ascii="Times New Roman" w:hAnsi="Times New Roman"/>
          <w:sz w:val="20"/>
          <w:szCs w:val="20"/>
        </w:rPr>
        <w:t xml:space="preserve"> &lt; 0.5B</w:t>
      </w:r>
      <w:r>
        <w:rPr>
          <w:rFonts w:ascii="Times New Roman" w:hAnsi="Times New Roman"/>
          <w:sz w:val="20"/>
          <w:szCs w:val="20"/>
          <w:vertAlign w:val="subscript"/>
        </w:rPr>
        <w:t>0</w:t>
      </w:r>
      <w:r>
        <w:rPr>
          <w:rFonts w:ascii="Times New Roman" w:hAnsi="Times New Roman"/>
          <w:sz w:val="20"/>
          <w:szCs w:val="20"/>
        </w:rPr>
        <w:t xml:space="preserve"> is perhaps more realistic, e.g.</w:t>
      </w:r>
    </w:p>
    <w:p>
      <w:pPr>
        <w:pStyle w:val="Normal"/>
        <w:jc w:val="both"/>
        <w:rPr>
          <w:rFonts w:ascii="Times New Roman" w:hAnsi="Times New Roman"/>
          <w:sz w:val="20"/>
          <w:szCs w:val="20"/>
        </w:rPr>
      </w:pPr>
      <w:r>
        <w:rPr>
          <w:rFonts w:ascii="Times New Roman" w:hAnsi="Times New Roman"/>
          <w:sz w:val="20"/>
          <w:szCs w:val="20"/>
        </w:rPr>
      </w:r>
    </w:p>
    <w:p>
      <w:pPr>
        <w:pStyle w:val="Normal"/>
        <w:jc w:val="both"/>
        <w:rPr>
          <w:rFonts w:ascii="Times New Roman" w:hAnsi="Times New Roman"/>
          <w:sz w:val="20"/>
          <w:szCs w:val="20"/>
        </w:rPr>
      </w:pPr>
      <w:r>
        <w:rPr>
          <w:rFonts w:ascii="Times New Roman" w:hAnsi="Times New Roman"/>
          <w:sz w:val="20"/>
          <w:szCs w:val="20"/>
        </w:rPr>
        <w:drawing>
          <wp:anchor behindDoc="0" distT="0" distB="0" distL="0" distR="0" simplePos="0" locked="0" layoutInCell="1" allowOverlap="1" relativeHeight="1">
            <wp:simplePos x="0" y="0"/>
            <wp:positionH relativeFrom="column">
              <wp:align>center</wp:align>
            </wp:positionH>
            <wp:positionV relativeFrom="paragraph">
              <wp:align>top</wp:align>
            </wp:positionV>
            <wp:extent cx="1938020" cy="775335"/>
            <wp:effectExtent l="0" t="0" r="0" b="0"/>
            <wp:wrapSquare wrapText="largest"/>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5"/>
                    <a:stretch>
                      <a:fillRect/>
                    </a:stretch>
                  </pic:blipFill>
                  <pic:spPr bwMode="auto">
                    <a:xfrm>
                      <a:off x="0" y="0"/>
                      <a:ext cx="1938020" cy="775335"/>
                    </a:xfrm>
                    <a:prstGeom prst="rect">
                      <a:avLst/>
                    </a:prstGeom>
                    <a:noFill/>
                    <a:ln w="9525">
                      <a:noFill/>
                      <a:miter lim="800000"/>
                      <a:headEnd/>
                      <a:tailEnd/>
                    </a:ln>
                  </pic:spPr>
                </pic:pic>
              </a:graphicData>
            </a:graphic>
          </wp:anchor>
        </w:drawing>
      </w:r>
    </w:p>
    <w:p>
      <w:pPr>
        <w:pStyle w:val="Normal"/>
        <w:jc w:val="both"/>
        <w:rPr>
          <w:rFonts w:ascii="Times New Roman" w:hAnsi="Times New Roman"/>
          <w:sz w:val="20"/>
          <w:szCs w:val="20"/>
        </w:rPr>
      </w:pPr>
      <w:r>
        <w:rPr>
          <w:rFonts w:ascii="Times New Roman" w:hAnsi="Times New Roman"/>
          <w:sz w:val="20"/>
          <w:szCs w:val="20"/>
        </w:rPr>
      </w:r>
    </w:p>
    <w:p>
      <w:pPr>
        <w:pStyle w:val="Normal"/>
        <w:jc w:val="both"/>
        <w:rPr>
          <w:rFonts w:ascii="Times New Roman" w:hAnsi="Times New Roman"/>
          <w:sz w:val="20"/>
          <w:szCs w:val="20"/>
        </w:rPr>
      </w:pPr>
      <w:r>
        <w:rPr>
          <w:rFonts w:ascii="Times New Roman" w:hAnsi="Times New Roman"/>
          <w:sz w:val="20"/>
          <w:szCs w:val="20"/>
        </w:rPr>
      </w:r>
    </w:p>
    <w:p>
      <w:pPr>
        <w:pStyle w:val="Normal"/>
        <w:jc w:val="both"/>
        <w:rPr>
          <w:rFonts w:ascii="Times New Roman" w:hAnsi="Times New Roman"/>
          <w:sz w:val="20"/>
          <w:szCs w:val="20"/>
        </w:rPr>
      </w:pPr>
      <w:r>
        <w:rPr>
          <w:rFonts w:ascii="Times New Roman" w:hAnsi="Times New Roman"/>
          <w:sz w:val="20"/>
          <w:szCs w:val="20"/>
        </w:rPr>
      </w:r>
    </w:p>
    <w:p>
      <w:pPr>
        <w:pStyle w:val="Normal"/>
        <w:jc w:val="both"/>
        <w:rPr>
          <w:rFonts w:ascii="Times New Roman" w:hAnsi="Times New Roman"/>
          <w:sz w:val="20"/>
          <w:szCs w:val="20"/>
        </w:rPr>
      </w:pPr>
      <w:r>
        <w:rPr>
          <w:rFonts w:ascii="Times New Roman" w:hAnsi="Times New Roman"/>
          <w:sz w:val="20"/>
          <w:szCs w:val="20"/>
        </w:rPr>
      </w:r>
    </w:p>
    <w:p>
      <w:pPr>
        <w:pStyle w:val="Normal"/>
        <w:jc w:val="both"/>
        <w:rPr>
          <w:rFonts w:ascii="Times New Roman" w:hAnsi="Times New Roman"/>
          <w:sz w:val="20"/>
          <w:szCs w:val="20"/>
        </w:rPr>
      </w:pPr>
      <w:r>
        <w:rPr>
          <w:rFonts w:ascii="Times New Roman" w:hAnsi="Times New Roman"/>
          <w:sz w:val="20"/>
          <w:szCs w:val="20"/>
        </w:rPr>
      </w:r>
    </w:p>
    <w:p>
      <w:pPr>
        <w:pStyle w:val="Normal"/>
        <w:jc w:val="both"/>
        <w:rPr>
          <w:rFonts w:ascii="Times New Roman" w:hAnsi="Times New Roman"/>
          <w:sz w:val="20"/>
          <w:szCs w:val="20"/>
        </w:rPr>
      </w:pPr>
      <w:r>
        <w:rPr>
          <w:rFonts w:ascii="Times New Roman" w:hAnsi="Times New Roman"/>
          <w:sz w:val="20"/>
          <w:szCs w:val="20"/>
        </w:rPr>
        <w:t xml:space="preserve">where (r) is the intrinsic rate of increase, (K) the carry capacity (p) the shape of the surplus production function. If p &lt; 1 then the curve is skewed to the left. </w:t>
      </w:r>
    </w:p>
    <w:p>
      <w:pPr>
        <w:pStyle w:val="Normal"/>
        <w:jc w:val="both"/>
        <w:rPr>
          <w:rFonts w:ascii="Times New Roman" w:hAnsi="Times New Roman"/>
          <w:sz w:val="20"/>
          <w:szCs w:val="20"/>
        </w:rPr>
      </w:pPr>
      <w:r>
        <w:rPr>
          <w:rFonts w:ascii="Times New Roman" w:hAnsi="Times New Roman"/>
          <w:sz w:val="20"/>
          <w:szCs w:val="20"/>
        </w:rPr>
      </w:r>
    </w:p>
    <w:p>
      <w:pPr>
        <w:pStyle w:val="Normal"/>
        <w:jc w:val="both"/>
        <w:rPr>
          <w:rFonts w:ascii="Times New Roman" w:hAnsi="Times New Roman"/>
          <w:sz w:val="20"/>
          <w:szCs w:val="20"/>
        </w:rPr>
      </w:pPr>
      <w:r>
        <w:rPr>
          <w:rFonts w:ascii="Times New Roman" w:hAnsi="Times New Roman"/>
          <w:sz w:val="20"/>
          <w:szCs w:val="20"/>
        </w:rPr>
        <w:t xml:space="preserve">The dynamics, i.e. productivity and reference points and the response of the stock to perturbations, are determined by r and the shape of the production function p. If p = 1 then MSY is found halfway between 0 and K, as p increases MSY shifts to the right. </w:t>
      </w:r>
    </w:p>
    <w:p>
      <w:pPr>
        <w:pStyle w:val="Normal"/>
        <w:jc w:val="both"/>
        <w:rPr>
          <w:rFonts w:ascii="Times New Roman" w:hAnsi="Times New Roman"/>
          <w:sz w:val="20"/>
          <w:szCs w:val="20"/>
        </w:rPr>
      </w:pPr>
      <w:r>
        <w:rPr>
          <w:rFonts w:ascii="Times New Roman" w:hAnsi="Times New Roman"/>
          <w:sz w:val="20"/>
          <w:szCs w:val="20"/>
        </w:rPr>
      </w:r>
    </w:p>
    <w:p>
      <w:pPr>
        <w:pStyle w:val="Normal"/>
        <w:jc w:val="both"/>
        <w:rPr>
          <w:rFonts w:ascii="Times New Roman" w:hAnsi="Times New Roman"/>
          <w:sz w:val="20"/>
          <w:szCs w:val="20"/>
        </w:rPr>
      </w:pPr>
      <w:r>
        <w:rPr>
          <w:rFonts w:ascii="Times New Roman" w:hAnsi="Times New Roman"/>
          <w:sz w:val="20"/>
          <w:szCs w:val="20"/>
        </w:rPr>
        <w:t xml:space="preserve">To fit the model requires time series of catch and relative abundance, e.g. catch per unit effort (CPUE), and a fitting criteria. In the albacore assessment the least absolute value (LAV) was used as the objective function, where the sum of the absolute values was minimised. </w:t>
      </w:r>
    </w:p>
    <w:p>
      <w:pPr>
        <w:pStyle w:val="Normal"/>
        <w:jc w:val="both"/>
        <w:rPr>
          <w:rFonts w:ascii="Times New Roman" w:hAnsi="Times New Roman"/>
          <w:sz w:val="20"/>
          <w:szCs w:val="20"/>
        </w:rPr>
      </w:pPr>
      <w:r>
        <w:rPr>
          <w:rFonts w:ascii="Times New Roman" w:hAnsi="Times New Roman"/>
          <w:sz w:val="20"/>
          <w:szCs w:val="20"/>
        </w:rPr>
      </w:r>
    </w:p>
    <w:p>
      <w:pPr>
        <w:pStyle w:val="Normal"/>
        <w:jc w:val="both"/>
        <w:rPr>
          <w:rFonts w:ascii="Times New Roman" w:hAnsi="Times New Roman"/>
          <w:sz w:val="20"/>
          <w:szCs w:val="20"/>
        </w:rPr>
      </w:pPr>
      <w:r>
        <w:rPr>
          <w:rFonts w:ascii="Times New Roman" w:hAnsi="Times New Roman"/>
          <w:sz w:val="20"/>
          <w:szCs w:val="20"/>
        </w:rPr>
        <w:t>The working group also used the logistic form of the production function and in the validation procedure the Pella Tomlinson production function was fitted with p=1. i.e. a symmetric shape was assumed. The logistic function can be fitted either assuming harvest rate (catch/stock per year) or instantaneous mortality. Both assumptions were evaluated.</w:t>
      </w:r>
    </w:p>
    <w:p>
      <w:pPr>
        <w:pStyle w:val="TextBody"/>
        <w:spacing w:lineRule="auto" w:line="240"/>
        <w:jc w:val="both"/>
        <w:rPr/>
      </w:pPr>
      <w:r>
        <w:rPr/>
      </w:r>
    </w:p>
    <w:p>
      <w:pPr>
        <w:pStyle w:val="TextBody"/>
        <w:spacing w:lineRule="auto" w:line="240"/>
        <w:jc w:val="both"/>
        <w:rPr>
          <w:rFonts w:ascii="Times New Roman" w:hAnsi="Times New Roman"/>
          <w:b/>
          <w:bCs/>
          <w:i/>
          <w:iCs/>
          <w:sz w:val="20"/>
          <w:szCs w:val="20"/>
        </w:rPr>
      </w:pPr>
      <w:r>
        <w:rPr>
          <w:rFonts w:ascii="Times New Roman" w:hAnsi="Times New Roman"/>
          <w:b/>
          <w:bCs/>
          <w:i/>
          <w:iCs/>
          <w:sz w:val="20"/>
          <w:szCs w:val="20"/>
        </w:rPr>
        <w:t>Jack knife</w:t>
      </w:r>
    </w:p>
    <w:p>
      <w:pPr>
        <w:pStyle w:val="TextBody"/>
        <w:spacing w:lineRule="auto" w:line="240"/>
        <w:jc w:val="both"/>
        <w:rPr>
          <w:rFonts w:ascii="Times New Roman" w:hAnsi="Times New Roman"/>
          <w:sz w:val="20"/>
          <w:szCs w:val="20"/>
        </w:rPr>
      </w:pPr>
      <w:r>
        <w:rPr>
          <w:rFonts w:ascii="Times New Roman" w:hAnsi="Times New Roman"/>
          <w:sz w:val="20"/>
          <w:szCs w:val="20"/>
        </w:rPr>
        <w:t>A jack knife was conducted to evaluate the impact of individual data point on the estimates. In a jackknife a single point is removed in turn and the model refitted. A jack knife also provides an estimate of bias.</w:t>
      </w:r>
    </w:p>
    <w:p>
      <w:pPr>
        <w:pStyle w:val="TextBody"/>
        <w:spacing w:lineRule="auto" w:line="240"/>
        <w:jc w:val="both"/>
        <w:rPr>
          <w:rFonts w:ascii="Times New Roman" w:hAnsi="Times New Roman"/>
          <w:sz w:val="20"/>
          <w:szCs w:val="20"/>
        </w:rPr>
      </w:pPr>
      <w:r>
        <w:rPr>
          <w:rFonts w:ascii="Times New Roman" w:hAnsi="Times New Roman"/>
          <w:sz w:val="20"/>
          <w:szCs w:val="20"/>
        </w:rPr>
      </w:r>
    </w:p>
    <w:p>
      <w:pPr>
        <w:pStyle w:val="TextBody"/>
        <w:spacing w:lineRule="auto" w:line="240"/>
        <w:jc w:val="both"/>
        <w:rPr>
          <w:rFonts w:ascii="Times New Roman" w:hAnsi="Times New Roman"/>
          <w:b/>
          <w:bCs/>
          <w:i/>
          <w:iCs/>
          <w:sz w:val="20"/>
          <w:szCs w:val="20"/>
        </w:rPr>
      </w:pPr>
      <w:r>
        <w:rPr>
          <w:rFonts w:ascii="Times New Roman" w:hAnsi="Times New Roman"/>
          <w:b/>
          <w:bCs/>
          <w:i/>
          <w:iCs/>
          <w:sz w:val="20"/>
          <w:szCs w:val="20"/>
        </w:rPr>
        <w:t>Hindcast</w:t>
      </w:r>
    </w:p>
    <w:p>
      <w:pPr>
        <w:pStyle w:val="TextBody"/>
        <w:spacing w:lineRule="auto" w:line="240"/>
        <w:jc w:val="both"/>
        <w:rPr>
          <w:rFonts w:ascii="Times New Roman" w:hAnsi="Times New Roman"/>
          <w:sz w:val="20"/>
          <w:szCs w:val="20"/>
        </w:rPr>
      </w:pPr>
      <w:r>
        <w:rPr>
          <w:rFonts w:ascii="Times New Roman" w:hAnsi="Times New Roman"/>
          <w:sz w:val="20"/>
          <w:szCs w:val="20"/>
        </w:rPr>
        <w:t>A major uncertainty in stock assessment is the difference between models and reality. The validation of model predictions is difficult, however, as fish stocks can rarely be observed and counted. We therefore conducted a hindcast to prediction skill. In a hindcast a model is fitted to the first part of a time series and then projected over the period omitted in the original fit. Prediction skill can then be evaluated by comparing the projection predictions with observations (Kell et al. accepted).</w:t>
      </w:r>
    </w:p>
    <w:p>
      <w:pPr>
        <w:pStyle w:val="Heading1"/>
        <w:numPr>
          <w:ilvl w:val="0"/>
          <w:numId w:val="1"/>
        </w:numPr>
        <w:tabs>
          <w:tab w:val="left" w:pos="0" w:leader="none"/>
        </w:tabs>
        <w:spacing w:before="0" w:after="0"/>
        <w:jc w:val="both"/>
        <w:rPr/>
      </w:pPr>
      <w:r>
        <w:rPr/>
      </w:r>
    </w:p>
    <w:p>
      <w:pPr>
        <w:pStyle w:val="Heading1"/>
        <w:numPr>
          <w:ilvl w:val="0"/>
          <w:numId w:val="1"/>
        </w:numPr>
        <w:tabs>
          <w:tab w:val="left" w:pos="0" w:leader="none"/>
        </w:tabs>
        <w:spacing w:before="0" w:after="0"/>
        <w:jc w:val="both"/>
        <w:rPr>
          <w:rFonts w:ascii="Times New Roman" w:hAnsi="Times New Roman"/>
          <w:sz w:val="20"/>
          <w:szCs w:val="20"/>
        </w:rPr>
      </w:pPr>
      <w:r>
        <w:rPr>
          <w:rFonts w:ascii="Times New Roman" w:hAnsi="Times New Roman"/>
          <w:sz w:val="20"/>
          <w:szCs w:val="20"/>
        </w:rPr>
        <w:t>Results</w:t>
      </w:r>
    </w:p>
    <w:p>
      <w:pPr>
        <w:pStyle w:val="TextBody"/>
        <w:spacing w:lineRule="auto" w:line="240" w:before="0" w:after="0"/>
        <w:jc w:val="both"/>
        <w:rPr>
          <w:rFonts w:ascii="Times New Roman" w:hAnsi="Times New Roman"/>
          <w:sz w:val="20"/>
          <w:szCs w:val="20"/>
        </w:rPr>
      </w:pPr>
      <w:r>
        <w:rPr>
          <w:rFonts w:ascii="Times New Roman" w:hAnsi="Times New Roman"/>
          <w:sz w:val="20"/>
          <w:szCs w:val="20"/>
        </w:rPr>
      </w:r>
    </w:p>
    <w:p>
      <w:pPr>
        <w:pStyle w:val="TextBody"/>
        <w:spacing w:lineRule="auto" w:line="240" w:before="0" w:after="0"/>
        <w:jc w:val="both"/>
        <w:rPr>
          <w:rFonts w:ascii="Times New Roman" w:hAnsi="Times New Roman"/>
          <w:sz w:val="20"/>
          <w:szCs w:val="20"/>
        </w:rPr>
      </w:pPr>
      <w:r>
        <w:rPr>
          <w:rFonts w:ascii="Times New Roman" w:hAnsi="Times New Roman"/>
          <w:sz w:val="20"/>
          <w:szCs w:val="20"/>
        </w:rPr>
        <w:t xml:space="preserve">The fits obtained in 2013 are shown in </w:t>
      </w:r>
      <w:r>
        <w:rPr>
          <w:rFonts w:ascii="Times New Roman" w:hAnsi="Times New Roman"/>
          <w:b/>
          <w:bCs/>
          <w:sz w:val="20"/>
          <w:szCs w:val="20"/>
        </w:rPr>
        <w:t>Figure 3;</w:t>
      </w:r>
      <w:r>
        <w:rPr>
          <w:rFonts w:ascii="Times New Roman" w:hAnsi="Times New Roman"/>
          <w:sz w:val="20"/>
          <w:szCs w:val="20"/>
        </w:rPr>
        <w:t xml:space="preserve"> the first step in a stock assessment is to check that the fitting algorithm has converged, i.e. a solution has actually been found. Therefore profiles of the LAV are plotted in </w:t>
      </w:r>
      <w:r>
        <w:rPr>
          <w:rFonts w:ascii="Times New Roman" w:hAnsi="Times New Roman"/>
          <w:b/>
          <w:bCs/>
          <w:sz w:val="20"/>
          <w:szCs w:val="20"/>
        </w:rPr>
        <w:t>Figure 4</w:t>
      </w:r>
      <w:r>
        <w:rPr>
          <w:rFonts w:ascii="Times New Roman" w:hAnsi="Times New Roman"/>
          <w:sz w:val="20"/>
          <w:szCs w:val="20"/>
        </w:rPr>
        <w:t xml:space="preserve">; the blue dots are the working group estimates and the red dots the estimates obtained by the aspic method in the mpb package. The bottom row shows scenario 4 on different scales. In two cases (scenario 3 and 4) a global minimum was not found. </w:t>
      </w:r>
    </w:p>
    <w:p>
      <w:pPr>
        <w:pStyle w:val="TextBody"/>
        <w:spacing w:lineRule="auto" w:line="240" w:before="0" w:after="0"/>
        <w:jc w:val="both"/>
        <w:rPr>
          <w:rFonts w:ascii="Times New Roman" w:hAnsi="Times New Roman"/>
          <w:sz w:val="20"/>
          <w:szCs w:val="20"/>
        </w:rPr>
      </w:pPr>
      <w:r>
        <w:rPr>
          <w:rFonts w:ascii="Times New Roman" w:hAnsi="Times New Roman"/>
          <w:sz w:val="20"/>
          <w:szCs w:val="20"/>
        </w:rPr>
      </w:r>
    </w:p>
    <w:p>
      <w:pPr>
        <w:pStyle w:val="TextBody"/>
        <w:spacing w:lineRule="auto" w:line="240" w:before="0" w:after="0"/>
        <w:jc w:val="both"/>
        <w:rPr>
          <w:rFonts w:ascii="Times New Roman" w:hAnsi="Times New Roman"/>
          <w:sz w:val="20"/>
          <w:szCs w:val="20"/>
        </w:rPr>
      </w:pPr>
      <w:r>
        <w:rPr>
          <w:rFonts w:ascii="Times New Roman" w:hAnsi="Times New Roman"/>
          <w:sz w:val="20"/>
          <w:szCs w:val="20"/>
        </w:rPr>
        <w:t xml:space="preserve">In all cases, other than scenario 4, the aspic algorithm in mpb found the same solution as the standalone executable. In scenario 4 a ”better fit” was found, due to better starting conditions. This is because in scenario 4 the objective function is bimodal (the blue and red lines) and the fitting algorithm flips between them (grey lines). Therefore there are many local minima. </w:t>
      </w:r>
    </w:p>
    <w:p>
      <w:pPr>
        <w:pStyle w:val="TextBody"/>
        <w:spacing w:lineRule="auto" w:line="240" w:before="0" w:after="0"/>
        <w:jc w:val="both"/>
        <w:rPr>
          <w:rFonts w:ascii="Times New Roman" w:hAnsi="Times New Roman"/>
          <w:sz w:val="20"/>
          <w:szCs w:val="20"/>
        </w:rPr>
      </w:pPr>
      <w:r>
        <w:rPr>
          <w:rFonts w:ascii="Times New Roman" w:hAnsi="Times New Roman"/>
          <w:sz w:val="20"/>
          <w:szCs w:val="20"/>
        </w:rPr>
      </w:r>
    </w:p>
    <w:p>
      <w:pPr>
        <w:pStyle w:val="TextBody"/>
        <w:spacing w:lineRule="auto" w:line="240" w:before="0" w:after="0"/>
        <w:jc w:val="both"/>
        <w:rPr>
          <w:rFonts w:ascii="Times New Roman" w:hAnsi="Times New Roman"/>
          <w:sz w:val="20"/>
          <w:szCs w:val="20"/>
        </w:rPr>
      </w:pPr>
      <w:r>
        <w:rPr>
          <w:rFonts w:ascii="Times New Roman" w:hAnsi="Times New Roman"/>
          <w:sz w:val="20"/>
          <w:szCs w:val="20"/>
        </w:rPr>
        <w:t>To evaluate the population dynamic model the stock was projected by scenario for the reported catch and the 2013 ASPIC stock assessment parameter estimates (</w:t>
      </w:r>
      <w:r>
        <w:rPr>
          <w:rFonts w:ascii="Times New Roman" w:hAnsi="Times New Roman"/>
          <w:b/>
          <w:bCs/>
          <w:sz w:val="20"/>
          <w:szCs w:val="20"/>
        </w:rPr>
        <w:t>Figure 5</w:t>
      </w:r>
      <w:r>
        <w:rPr>
          <w:rFonts w:ascii="Times New Roman" w:hAnsi="Times New Roman"/>
          <w:sz w:val="20"/>
          <w:szCs w:val="20"/>
        </w:rPr>
        <w:t>); red lines are the projections obtained using the mpb package and black are the ASPIC fits. Two options are available for the population model in biodyn; either all the catch is taken after recruitment to the stock at the beginning of the year (i.e. a harvest rate) or fishing is modelled as the instantaneous value throughout the year. In the former case catches cause the stock to crash in some cases, in the latter both aspic and ASPIC give the same results.</w:t>
      </w:r>
    </w:p>
    <w:p>
      <w:pPr>
        <w:pStyle w:val="TextBody"/>
        <w:spacing w:lineRule="auto" w:line="240" w:before="0" w:after="0"/>
        <w:jc w:val="both"/>
        <w:rPr>
          <w:rFonts w:ascii="Times New Roman" w:hAnsi="Times New Roman"/>
          <w:sz w:val="20"/>
          <w:szCs w:val="20"/>
        </w:rPr>
      </w:pPr>
      <w:r>
        <w:rPr>
          <w:rFonts w:ascii="Times New Roman" w:hAnsi="Times New Roman"/>
          <w:sz w:val="20"/>
          <w:szCs w:val="20"/>
        </w:rPr>
      </w:r>
    </w:p>
    <w:p>
      <w:pPr>
        <w:pStyle w:val="TextBody"/>
        <w:spacing w:lineRule="auto" w:line="240" w:before="0" w:after="0"/>
        <w:jc w:val="both"/>
        <w:rPr>
          <w:rFonts w:ascii="Times New Roman" w:hAnsi="Times New Roman"/>
          <w:sz w:val="20"/>
          <w:szCs w:val="20"/>
        </w:rPr>
      </w:pPr>
      <w:r>
        <w:rPr>
          <w:rFonts w:ascii="Times New Roman" w:hAnsi="Times New Roman"/>
          <w:sz w:val="20"/>
          <w:szCs w:val="20"/>
        </w:rPr>
        <w:t xml:space="preserve">The biodyn procedure was then fitted to the data, for the two harvesting assumptions. The estimates of the stock time series are shown in </w:t>
      </w:r>
      <w:r>
        <w:rPr>
          <w:rFonts w:ascii="Times New Roman" w:hAnsi="Times New Roman"/>
          <w:b/>
          <w:bCs/>
          <w:sz w:val="20"/>
          <w:szCs w:val="20"/>
        </w:rPr>
        <w:t>Figure 6</w:t>
      </w:r>
      <w:r>
        <w:rPr>
          <w:rFonts w:ascii="Times New Roman" w:hAnsi="Times New Roman"/>
          <w:sz w:val="20"/>
          <w:szCs w:val="20"/>
        </w:rPr>
        <w:t xml:space="preserve"> and the objective function values (LAV) in </w:t>
      </w:r>
      <w:r>
        <w:rPr>
          <w:rFonts w:ascii="Times New Roman" w:hAnsi="Times New Roman"/>
          <w:b/>
          <w:bCs/>
          <w:sz w:val="20"/>
          <w:szCs w:val="20"/>
        </w:rPr>
        <w:t>Table 2</w:t>
      </w:r>
      <w:r>
        <w:rPr>
          <w:rFonts w:ascii="Times New Roman" w:hAnsi="Times New Roman"/>
          <w:sz w:val="20"/>
          <w:szCs w:val="20"/>
        </w:rPr>
        <w:t xml:space="preserve">. For harvest rate in some cases the stock collapsed. Assuming that fishing mortality was instantaneous results in similar fits to ASPIC, although these were not identical. Reference to </w:t>
      </w:r>
      <w:r>
        <w:rPr>
          <w:rFonts w:ascii="Times New Roman" w:hAnsi="Times New Roman"/>
          <w:b/>
          <w:bCs/>
          <w:sz w:val="20"/>
          <w:szCs w:val="20"/>
        </w:rPr>
        <w:t>Table 2</w:t>
      </w:r>
      <w:r>
        <w:rPr>
          <w:rFonts w:ascii="Times New Roman" w:hAnsi="Times New Roman"/>
          <w:sz w:val="20"/>
          <w:szCs w:val="20"/>
        </w:rPr>
        <w:t xml:space="preserve"> shows that this is because in all cases, other than scenario 4, biodyn obtains better fits, althought the differences are small. </w:t>
      </w:r>
    </w:p>
    <w:p>
      <w:pPr>
        <w:pStyle w:val="TextBody"/>
        <w:spacing w:lineRule="auto" w:line="240" w:before="0" w:after="0"/>
        <w:jc w:val="both"/>
        <w:rPr>
          <w:rFonts w:ascii="Times New Roman" w:hAnsi="Times New Roman"/>
          <w:sz w:val="20"/>
          <w:szCs w:val="20"/>
        </w:rPr>
      </w:pPr>
      <w:r>
        <w:rPr>
          <w:rFonts w:ascii="Times New Roman" w:hAnsi="Times New Roman"/>
          <w:sz w:val="20"/>
          <w:szCs w:val="20"/>
        </w:rPr>
      </w:r>
    </w:p>
    <w:p>
      <w:pPr>
        <w:pStyle w:val="TextBody"/>
        <w:spacing w:lineRule="auto" w:line="240" w:before="0" w:after="0"/>
        <w:jc w:val="both"/>
        <w:rPr>
          <w:rFonts w:ascii="Times New Roman" w:hAnsi="Times New Roman"/>
          <w:sz w:val="20"/>
          <w:szCs w:val="20"/>
        </w:rPr>
      </w:pPr>
      <w:r>
        <w:rPr>
          <w:rFonts w:ascii="Times New Roman" w:hAnsi="Times New Roman"/>
          <w:sz w:val="20"/>
          <w:szCs w:val="20"/>
        </w:rPr>
        <w:t xml:space="preserve">To test the stability of the assessments a jack knife was performed for two objective functions i) sum of squares and ii) LAV. </w:t>
      </w:r>
      <w:r>
        <w:rPr>
          <w:rFonts w:ascii="Times New Roman" w:hAnsi="Times New Roman"/>
          <w:b/>
          <w:bCs/>
          <w:sz w:val="20"/>
          <w:szCs w:val="20"/>
        </w:rPr>
        <w:t>Figures 7</w:t>
      </w:r>
      <w:r>
        <w:rPr>
          <w:rFonts w:ascii="Times New Roman" w:hAnsi="Times New Roman"/>
          <w:sz w:val="20"/>
          <w:szCs w:val="20"/>
        </w:rPr>
        <w:t xml:space="preserve"> and </w:t>
      </w:r>
      <w:r>
        <w:rPr>
          <w:rFonts w:ascii="Times New Roman" w:hAnsi="Times New Roman"/>
          <w:b/>
          <w:bCs/>
          <w:sz w:val="20"/>
          <w:szCs w:val="20"/>
        </w:rPr>
        <w:t xml:space="preserve">8 </w:t>
      </w:r>
      <w:r>
        <w:rPr>
          <w:rFonts w:ascii="Times New Roman" w:hAnsi="Times New Roman"/>
          <w:sz w:val="20"/>
          <w:szCs w:val="20"/>
        </w:rPr>
        <w:t>show the results for r and K for fitting using sum of squares. The plots of r are the inverse of K and so for LAV  (</w:t>
      </w:r>
      <w:r>
        <w:rPr>
          <w:rFonts w:ascii="Times New Roman" w:hAnsi="Times New Roman"/>
          <w:b/>
          <w:bCs/>
          <w:sz w:val="20"/>
          <w:szCs w:val="20"/>
        </w:rPr>
        <w:t xml:space="preserve">Figure 14) </w:t>
      </w:r>
      <w:r>
        <w:rPr>
          <w:rFonts w:ascii="Times New Roman" w:hAnsi="Times New Roman"/>
          <w:sz w:val="20"/>
          <w:szCs w:val="20"/>
        </w:rPr>
        <w:t>only the results for K are shown. These figures show the estimates of r and K for assessment scenario (row) and CPUE series (column). In the case of the assessment based on the Troll series, a single point can have a large effect, i.e. up to 10%. This translates into a very large bias in the estimates.</w:t>
      </w:r>
    </w:p>
    <w:p>
      <w:pPr>
        <w:pStyle w:val="TextBody"/>
        <w:spacing w:lineRule="auto" w:line="240" w:before="0" w:after="0"/>
        <w:jc w:val="both"/>
        <w:rPr>
          <w:rFonts w:ascii="Times New Roman" w:hAnsi="Times New Roman"/>
          <w:sz w:val="20"/>
          <w:szCs w:val="20"/>
        </w:rPr>
      </w:pPr>
      <w:r>
        <w:rPr>
          <w:rFonts w:ascii="Times New Roman" w:hAnsi="Times New Roman"/>
          <w:sz w:val="20"/>
          <w:szCs w:val="20"/>
        </w:rPr>
      </w:r>
    </w:p>
    <w:p>
      <w:pPr>
        <w:pStyle w:val="TextBody"/>
        <w:spacing w:lineRule="auto" w:line="240" w:before="0" w:after="0"/>
        <w:jc w:val="both"/>
        <w:rPr>
          <w:rFonts w:ascii="Times New Roman" w:hAnsi="Times New Roman"/>
          <w:sz w:val="20"/>
          <w:szCs w:val="20"/>
        </w:rPr>
      </w:pPr>
      <w:r>
        <w:rPr>
          <w:rFonts w:ascii="Times New Roman" w:hAnsi="Times New Roman"/>
          <w:sz w:val="20"/>
          <w:szCs w:val="20"/>
        </w:rPr>
        <w:t xml:space="preserve">In the case of LAV similar magnitudes of bias were seen, however, there is also flipping between positive and negative bias. This indicates that the fits are likely to be highly unstable and unreliable, i.e. can not be replicated if a single point changes. </w:t>
      </w:r>
    </w:p>
    <w:p>
      <w:pPr>
        <w:pStyle w:val="TextBody"/>
        <w:spacing w:lineRule="auto" w:line="240" w:before="0" w:after="0"/>
        <w:jc w:val="both"/>
        <w:rPr>
          <w:rFonts w:ascii="Times New Roman" w:hAnsi="Times New Roman"/>
          <w:sz w:val="20"/>
          <w:szCs w:val="20"/>
        </w:rPr>
      </w:pPr>
      <w:r>
        <w:rPr>
          <w:rFonts w:ascii="Times New Roman" w:hAnsi="Times New Roman"/>
          <w:sz w:val="20"/>
          <w:szCs w:val="20"/>
        </w:rPr>
      </w:r>
    </w:p>
    <w:p>
      <w:pPr>
        <w:pStyle w:val="TextBody"/>
        <w:spacing w:lineRule="auto" w:line="240" w:before="0" w:after="0"/>
        <w:jc w:val="both"/>
        <w:rPr>
          <w:rFonts w:ascii="Times New Roman" w:hAnsi="Times New Roman"/>
          <w:sz w:val="20"/>
          <w:szCs w:val="20"/>
        </w:rPr>
      </w:pPr>
      <w:r>
        <w:rPr>
          <w:rFonts w:ascii="Times New Roman" w:hAnsi="Times New Roman"/>
          <w:sz w:val="20"/>
          <w:szCs w:val="20"/>
        </w:rPr>
        <w:t xml:space="preserve">The reliability of advice is examined in </w:t>
      </w:r>
      <w:r>
        <w:rPr>
          <w:rFonts w:ascii="Times New Roman" w:hAnsi="Times New Roman"/>
          <w:b/>
          <w:bCs/>
          <w:sz w:val="20"/>
          <w:szCs w:val="20"/>
        </w:rPr>
        <w:t>Figures 9,10,11,12 and 13</w:t>
      </w:r>
      <w:r>
        <w:rPr>
          <w:rFonts w:ascii="Times New Roman" w:hAnsi="Times New Roman"/>
          <w:sz w:val="20"/>
          <w:szCs w:val="20"/>
        </w:rPr>
        <w:t xml:space="preserve"> for fitting using sum of squares and in </w:t>
      </w:r>
      <w:r>
        <w:rPr>
          <w:rFonts w:ascii="Times New Roman" w:hAnsi="Times New Roman"/>
          <w:b/>
          <w:bCs/>
          <w:sz w:val="20"/>
          <w:szCs w:val="20"/>
        </w:rPr>
        <w:t>Figures 15,16,17,18 and 19</w:t>
      </w:r>
      <w:r>
        <w:rPr>
          <w:rFonts w:ascii="Times New Roman" w:hAnsi="Times New Roman"/>
          <w:sz w:val="20"/>
          <w:szCs w:val="20"/>
        </w:rPr>
        <w:t xml:space="preserve"> using LAV. Ideally the lines should coincide; otherwise advice is likely to be unreliable. </w:t>
      </w:r>
    </w:p>
    <w:p>
      <w:pPr>
        <w:pStyle w:val="TextBody"/>
        <w:spacing w:lineRule="auto" w:line="240" w:before="0" w:after="0"/>
        <w:jc w:val="both"/>
        <w:rPr>
          <w:rFonts w:ascii="Times New Roman" w:hAnsi="Times New Roman"/>
          <w:sz w:val="20"/>
          <w:szCs w:val="20"/>
        </w:rPr>
      </w:pPr>
      <w:r>
        <w:rPr>
          <w:rFonts w:ascii="Times New Roman" w:hAnsi="Times New Roman"/>
          <w:sz w:val="20"/>
          <w:szCs w:val="20"/>
        </w:rPr>
      </w:r>
    </w:p>
    <w:p>
      <w:pPr>
        <w:pStyle w:val="TextBody"/>
        <w:spacing w:lineRule="auto" w:line="240" w:before="0" w:after="0"/>
        <w:jc w:val="both"/>
        <w:rPr>
          <w:rFonts w:ascii="Times New Roman" w:hAnsi="Times New Roman"/>
          <w:sz w:val="20"/>
          <w:szCs w:val="20"/>
        </w:rPr>
      </w:pPr>
      <w:r>
        <w:rPr>
          <w:rFonts w:ascii="Times New Roman" w:hAnsi="Times New Roman"/>
          <w:sz w:val="20"/>
          <w:szCs w:val="20"/>
        </w:rPr>
        <w:t xml:space="preserve">When using sum of squares to fit, absolute values of biomass are more reliable than relative values; as can be seen by comparing </w:t>
      </w:r>
      <w:r>
        <w:rPr>
          <w:rFonts w:ascii="Times New Roman" w:hAnsi="Times New Roman"/>
          <w:b/>
          <w:bCs/>
          <w:sz w:val="20"/>
          <w:szCs w:val="20"/>
        </w:rPr>
        <w:t>Figures 9 and 10</w:t>
      </w:r>
      <w:r>
        <w:rPr>
          <w:rFonts w:ascii="Times New Roman" w:hAnsi="Times New Roman"/>
          <w:sz w:val="20"/>
          <w:szCs w:val="20"/>
        </w:rPr>
        <w:t>. Using sum of squares also appears to be more reliable than using LAV. F/F</w:t>
      </w:r>
      <w:r>
        <w:rPr>
          <w:rFonts w:ascii="Times New Roman" w:hAnsi="Times New Roman"/>
          <w:sz w:val="20"/>
          <w:szCs w:val="20"/>
          <w:vertAlign w:val="subscript"/>
        </w:rPr>
        <w:t>MSY</w:t>
      </w:r>
      <w:r>
        <w:rPr>
          <w:rFonts w:ascii="Times New Roman" w:hAnsi="Times New Roman"/>
          <w:sz w:val="20"/>
          <w:szCs w:val="20"/>
        </w:rPr>
        <w:t xml:space="preserve"> also appears to be more stable than biomass.</w:t>
      </w:r>
    </w:p>
    <w:p>
      <w:pPr>
        <w:pStyle w:val="TextBody"/>
        <w:spacing w:lineRule="auto" w:line="240" w:before="0" w:after="0"/>
        <w:jc w:val="both"/>
        <w:rPr>
          <w:rFonts w:ascii="Times New Roman" w:hAnsi="Times New Roman"/>
          <w:sz w:val="20"/>
          <w:szCs w:val="20"/>
        </w:rPr>
      </w:pPr>
      <w:r>
        <w:rPr>
          <w:rFonts w:ascii="Times New Roman" w:hAnsi="Times New Roman"/>
          <w:sz w:val="20"/>
          <w:szCs w:val="20"/>
        </w:rPr>
      </w:r>
    </w:p>
    <w:p>
      <w:pPr>
        <w:pStyle w:val="Heading1"/>
        <w:numPr>
          <w:ilvl w:val="0"/>
          <w:numId w:val="1"/>
        </w:numPr>
        <w:tabs>
          <w:tab w:val="left" w:pos="0" w:leader="none"/>
        </w:tabs>
        <w:jc w:val="both"/>
        <w:rPr>
          <w:rFonts w:ascii="Times New Roman" w:hAnsi="Times New Roman"/>
          <w:sz w:val="20"/>
          <w:szCs w:val="20"/>
        </w:rPr>
      </w:pPr>
      <w:r>
        <w:rPr>
          <w:rFonts w:ascii="Times New Roman" w:hAnsi="Times New Roman"/>
          <w:sz w:val="20"/>
          <w:szCs w:val="20"/>
        </w:rPr>
        <w:t>Discussion and Conclusions</w:t>
      </w:r>
    </w:p>
    <w:p>
      <w:pPr>
        <w:pStyle w:val="Normal"/>
        <w:jc w:val="both"/>
        <w:rPr>
          <w:rFonts w:ascii="Times New Roman" w:hAnsi="Times New Roman"/>
          <w:sz w:val="20"/>
          <w:szCs w:val="20"/>
        </w:rPr>
      </w:pPr>
      <w:r>
        <w:rPr>
          <w:rFonts w:ascii="Times New Roman" w:hAnsi="Times New Roman"/>
          <w:sz w:val="20"/>
          <w:szCs w:val="20"/>
        </w:rPr>
        <w:t xml:space="preserve">The intention of the paper was validate the stock assessment algorithms biodyn and aspic in the mpb package, however, problems were found in the fits. This was due to lack of convergence and instability. In that not all the stock assessments had actually found the best solution and the results were sensitive to small changes in the dataset. </w:t>
      </w:r>
    </w:p>
    <w:p>
      <w:pPr>
        <w:pStyle w:val="Normal"/>
        <w:jc w:val="both"/>
        <w:rPr/>
      </w:pPr>
      <w:r>
        <w:rPr/>
      </w:r>
    </w:p>
    <w:p>
      <w:pPr>
        <w:pStyle w:val="Normal"/>
        <w:jc w:val="both"/>
        <w:rPr>
          <w:rFonts w:ascii="Times New Roman" w:hAnsi="Times New Roman"/>
          <w:sz w:val="20"/>
          <w:szCs w:val="20"/>
        </w:rPr>
      </w:pPr>
      <w:r>
        <w:rPr>
          <w:rFonts w:ascii="Times New Roman" w:hAnsi="Times New Roman"/>
          <w:sz w:val="20"/>
          <w:szCs w:val="20"/>
        </w:rPr>
        <w:t>Ideally an assessment should be stable, i.e. the addition or removal of a single point should not have much effect on the fits. Least squares regression is unstable if the datasets show collinearity, while least absolute deviation (LAD or LAV) can exhibit instability at datasets that are far from collinear (e.g. Ellis, 1998). Using conflicting CPUE series, or series with little signal can therefore produced unstable and unreliable results when LAV, as in this case, was used as the objective function.</w:t>
      </w:r>
    </w:p>
    <w:p>
      <w:pPr>
        <w:pStyle w:val="Normal"/>
        <w:jc w:val="both"/>
        <w:rPr>
          <w:rFonts w:ascii="Times New Roman" w:hAnsi="Times New Roman"/>
          <w:sz w:val="20"/>
          <w:szCs w:val="20"/>
        </w:rPr>
      </w:pPr>
      <w:r>
        <w:rPr>
          <w:rFonts w:ascii="Times New Roman" w:hAnsi="Times New Roman"/>
          <w:sz w:val="20"/>
          <w:szCs w:val="20"/>
        </w:rPr>
      </w:r>
    </w:p>
    <w:p>
      <w:pPr>
        <w:pStyle w:val="Normal"/>
        <w:jc w:val="both"/>
        <w:rPr>
          <w:rFonts w:ascii="Times New Roman" w:hAnsi="Times New Roman"/>
          <w:sz w:val="20"/>
          <w:szCs w:val="20"/>
        </w:rPr>
      </w:pPr>
      <w:r>
        <w:rPr>
          <w:rFonts w:ascii="Times New Roman" w:hAnsi="Times New Roman"/>
          <w:sz w:val="20"/>
          <w:szCs w:val="20"/>
        </w:rPr>
        <w:t xml:space="preserve">Instability is undesirable for several reasons, e.g. you do not want to find that updating an assessment with additional data point change the results. </w:t>
      </w:r>
    </w:p>
    <w:p>
      <w:pPr>
        <w:pStyle w:val="Normal"/>
        <w:jc w:val="both"/>
        <w:rPr>
          <w:rFonts w:ascii="Times New Roman" w:hAnsi="Times New Roman"/>
          <w:b/>
          <w:bCs/>
          <w:sz w:val="20"/>
          <w:szCs w:val="20"/>
        </w:rPr>
      </w:pPr>
      <w:r>
        <w:rPr>
          <w:rFonts w:ascii="Times New Roman" w:hAnsi="Times New Roman"/>
          <w:b/>
          <w:bCs/>
          <w:sz w:val="20"/>
          <w:szCs w:val="20"/>
        </w:rPr>
      </w:r>
    </w:p>
    <w:p>
      <w:pPr>
        <w:pStyle w:val="Normal"/>
        <w:jc w:val="both"/>
        <w:rPr>
          <w:rFonts w:ascii="Times New Roman" w:hAnsi="Times New Roman"/>
          <w:b/>
          <w:bCs/>
          <w:sz w:val="20"/>
          <w:szCs w:val="20"/>
        </w:rPr>
      </w:pPr>
      <w:r>
        <w:rPr>
          <w:rFonts w:ascii="Times New Roman" w:hAnsi="Times New Roman"/>
          <w:b/>
          <w:bCs/>
          <w:sz w:val="20"/>
          <w:szCs w:val="20"/>
        </w:rPr>
      </w:r>
    </w:p>
    <w:p>
      <w:pPr>
        <w:pStyle w:val="Normal"/>
        <w:jc w:val="both"/>
        <w:rPr>
          <w:rFonts w:ascii="Times New Roman" w:hAnsi="Times New Roman"/>
          <w:sz w:val="20"/>
          <w:szCs w:val="20"/>
        </w:rPr>
      </w:pPr>
      <w:r>
        <w:rPr>
          <w:rFonts w:ascii="Times New Roman" w:hAnsi="Times New Roman"/>
          <w:sz w:val="20"/>
          <w:szCs w:val="20"/>
        </w:rPr>
      </w:r>
    </w:p>
    <w:p>
      <w:pPr>
        <w:pStyle w:val="Heading1"/>
        <w:numPr>
          <w:ilvl w:val="0"/>
          <w:numId w:val="1"/>
        </w:numPr>
        <w:tabs>
          <w:tab w:val="left" w:pos="0" w:leader="none"/>
        </w:tabs>
        <w:jc w:val="both"/>
        <w:rPr>
          <w:rFonts w:ascii="Times New Roman" w:hAnsi="Times New Roman"/>
          <w:sz w:val="20"/>
          <w:szCs w:val="20"/>
        </w:rPr>
      </w:pPr>
      <w:r>
        <w:rPr>
          <w:rFonts w:ascii="Times New Roman" w:hAnsi="Times New Roman"/>
          <w:sz w:val="20"/>
          <w:szCs w:val="20"/>
        </w:rPr>
      </w:r>
    </w:p>
    <w:p>
      <w:pPr>
        <w:pStyle w:val="Heading1"/>
        <w:pageBreakBefore/>
        <w:numPr>
          <w:ilvl w:val="0"/>
          <w:numId w:val="1"/>
        </w:numPr>
        <w:tabs>
          <w:tab w:val="left" w:pos="0" w:leader="none"/>
        </w:tabs>
        <w:jc w:val="both"/>
        <w:rPr>
          <w:rFonts w:ascii="Times New Roman" w:hAnsi="Times New Roman"/>
          <w:sz w:val="20"/>
          <w:szCs w:val="20"/>
        </w:rPr>
      </w:pPr>
      <w:r>
        <w:rPr>
          <w:rFonts w:ascii="Times New Roman" w:hAnsi="Times New Roman"/>
          <w:sz w:val="20"/>
          <w:szCs w:val="20"/>
        </w:rPr>
        <w:t>References</w:t>
      </w:r>
    </w:p>
    <w:p>
      <w:pPr>
        <w:pStyle w:val="TextBody"/>
        <w:spacing w:lineRule="auto" w:line="240"/>
        <w:jc w:val="both"/>
        <w:rPr>
          <w:sz w:val="20"/>
          <w:szCs w:val="20"/>
        </w:rPr>
      </w:pPr>
      <w:r>
        <w:rPr>
          <w:sz w:val="20"/>
          <w:szCs w:val="20"/>
        </w:rPr>
      </w:r>
    </w:p>
    <w:p>
      <w:pPr>
        <w:pStyle w:val="TextBody"/>
        <w:spacing w:lineRule="auto" w:line="240"/>
        <w:ind w:left="284" w:right="0" w:hanging="284"/>
        <w:jc w:val="both"/>
        <w:rPr>
          <w:rFonts w:ascii="Times New Roman" w:hAnsi="Times New Roman"/>
          <w:sz w:val="20"/>
          <w:szCs w:val="20"/>
        </w:rPr>
      </w:pPr>
      <w:r>
        <w:rPr>
          <w:rFonts w:ascii="Times New Roman" w:hAnsi="Times New Roman"/>
          <w:sz w:val="20"/>
          <w:szCs w:val="20"/>
        </w:rPr>
        <w:t>S. P. Ellis. Instability of least squares, least absolute deviation and least median of squares linear regression. Statistical Science, pages 337–344, 1998.</w:t>
      </w:r>
    </w:p>
    <w:p>
      <w:pPr>
        <w:pStyle w:val="TextBody"/>
        <w:spacing w:lineRule="auto" w:line="240"/>
        <w:ind w:left="284" w:right="0" w:hanging="284"/>
        <w:jc w:val="both"/>
        <w:rPr>
          <w:rFonts w:ascii="Times New Roman" w:hAnsi="Times New Roman"/>
          <w:sz w:val="20"/>
          <w:szCs w:val="20"/>
        </w:rPr>
      </w:pPr>
      <w:r>
        <w:rPr>
          <w:rFonts w:ascii="Times New Roman" w:hAnsi="Times New Roman"/>
          <w:sz w:val="20"/>
          <w:szCs w:val="20"/>
        </w:rPr>
        <w:t>M. Hassell. Density-dependence in single-species populations. The Journal of animal ecology, pages 283–295, 1975.</w:t>
      </w:r>
    </w:p>
    <w:p>
      <w:pPr>
        <w:pStyle w:val="TextBody"/>
        <w:spacing w:lineRule="auto" w:line="240"/>
        <w:ind w:left="284" w:right="0" w:hanging="284"/>
        <w:jc w:val="both"/>
        <w:rPr>
          <w:rFonts w:ascii="Times New Roman" w:hAnsi="Times New Roman"/>
          <w:sz w:val="20"/>
          <w:szCs w:val="20"/>
        </w:rPr>
      </w:pPr>
      <w:r>
        <w:rPr>
          <w:rFonts w:ascii="Times New Roman" w:hAnsi="Times New Roman"/>
          <w:sz w:val="20"/>
          <w:szCs w:val="20"/>
        </w:rPr>
        <w:t>L. Kell, P. De Bruyn, M. Maunder, K. Piner, and I. Taylor. Likelihood component profiling as a data exploratory tool. ICCAT Collect. Vol. Sci. Pap., 69(119):xxx–xxx, 2013a.</w:t>
      </w:r>
    </w:p>
    <w:p>
      <w:pPr>
        <w:pStyle w:val="TextBody"/>
        <w:spacing w:lineRule="auto" w:line="240"/>
        <w:ind w:left="284" w:right="0" w:hanging="284"/>
        <w:jc w:val="both"/>
        <w:rPr>
          <w:rFonts w:ascii="Times New Roman" w:hAnsi="Times New Roman"/>
          <w:sz w:val="20"/>
          <w:szCs w:val="20"/>
        </w:rPr>
      </w:pPr>
      <w:r>
        <w:rPr>
          <w:rFonts w:ascii="Times New Roman" w:hAnsi="Times New Roman"/>
          <w:sz w:val="20"/>
          <w:szCs w:val="20"/>
        </w:rPr>
        <w:t>L. Kell, D. B. P. M. I. Ortiz de Urbina, J., and A. Magnusson. A evaluation of different approaches for modelling uncertainty in ASPIC and biomass dynamic models. ICCAT Collect. Vol. of Sci. Pap., 65: 117:x–xx, 2013b.</w:t>
      </w:r>
    </w:p>
    <w:p>
      <w:pPr>
        <w:pStyle w:val="TextBody"/>
        <w:spacing w:lineRule="auto" w:line="240"/>
        <w:ind w:left="284" w:right="0" w:hanging="284"/>
        <w:jc w:val="both"/>
        <w:rPr>
          <w:rFonts w:ascii="Times New Roman" w:hAnsi="Times New Roman"/>
          <w:sz w:val="20"/>
          <w:szCs w:val="20"/>
        </w:rPr>
      </w:pPr>
      <w:r>
        <w:rPr>
          <w:rFonts w:ascii="Times New Roman" w:hAnsi="Times New Roman"/>
          <w:sz w:val="20"/>
          <w:szCs w:val="20"/>
        </w:rPr>
        <w:t>M. P. Laurence Kell. ASPIC, 2013. URL http://CRAN.R-project.org/package=ALKr. R package version 0.5.3.</w:t>
      </w:r>
    </w:p>
    <w:p>
      <w:pPr>
        <w:pStyle w:val="TextBody"/>
        <w:spacing w:lineRule="auto" w:line="240"/>
        <w:ind w:left="284" w:right="0" w:hanging="284"/>
        <w:jc w:val="both"/>
        <w:rPr>
          <w:rFonts w:ascii="Times New Roman" w:hAnsi="Times New Roman"/>
          <w:sz w:val="20"/>
          <w:szCs w:val="20"/>
        </w:rPr>
      </w:pPr>
      <w:r>
        <w:rPr>
          <w:rFonts w:ascii="Times New Roman" w:hAnsi="Times New Roman"/>
          <w:sz w:val="20"/>
          <w:szCs w:val="20"/>
        </w:rPr>
        <w:t>M. N. Maunder. Is it time to discard the schaefer model from the stock assessment scientists toolbox? Fish. Res., 61(1):145–149, 2003.</w:t>
      </w:r>
    </w:p>
    <w:p>
      <w:pPr>
        <w:pStyle w:val="TextBody"/>
        <w:spacing w:lineRule="auto" w:line="240"/>
        <w:ind w:left="284" w:right="0" w:hanging="284"/>
        <w:jc w:val="both"/>
        <w:rPr>
          <w:rFonts w:ascii="Times New Roman" w:hAnsi="Times New Roman"/>
          <w:sz w:val="20"/>
          <w:szCs w:val="20"/>
        </w:rPr>
      </w:pPr>
      <w:r>
        <w:rPr>
          <w:rFonts w:ascii="Times New Roman" w:hAnsi="Times New Roman"/>
          <w:sz w:val="20"/>
          <w:szCs w:val="20"/>
        </w:rPr>
        <w:t>J. Pella and P. Tomlinson. A generalized stock production model. Inter-American Tropical Tuna Commission, 1969.</w:t>
      </w:r>
    </w:p>
    <w:p>
      <w:pPr>
        <w:pStyle w:val="TextBody"/>
        <w:spacing w:lineRule="auto" w:line="240"/>
        <w:ind w:left="284" w:right="0" w:hanging="284"/>
        <w:jc w:val="both"/>
        <w:rPr>
          <w:rFonts w:ascii="Times New Roman" w:hAnsi="Times New Roman"/>
          <w:sz w:val="20"/>
          <w:szCs w:val="20"/>
        </w:rPr>
      </w:pPr>
      <w:r>
        <w:rPr>
          <w:rFonts w:ascii="Times New Roman" w:hAnsi="Times New Roman"/>
          <w:sz w:val="20"/>
          <w:szCs w:val="20"/>
        </w:rPr>
        <w:t>M. Prager. A suite of extensions to a nonequilibrium surplus-production model. Fishery Bulletin, 92(2): 374–389, 1994.</w:t>
      </w:r>
    </w:p>
    <w:p>
      <w:pPr>
        <w:pStyle w:val="TextBody"/>
        <w:pageBreakBefore/>
        <w:spacing w:lineRule="auto" w:line="240"/>
        <w:ind w:left="284" w:right="0" w:hanging="284"/>
        <w:jc w:val="both"/>
        <w:rPr>
          <w:rFonts w:ascii="Times New Roman" w:hAnsi="Times New Roman"/>
          <w:b/>
          <w:bCs/>
          <w:sz w:val="20"/>
          <w:szCs w:val="20"/>
        </w:rPr>
      </w:pPr>
      <w:r>
        <w:rPr>
          <w:rFonts w:ascii="Times New Roman" w:hAnsi="Times New Roman"/>
          <w:b/>
          <w:bCs/>
          <w:sz w:val="20"/>
          <w:szCs w:val="20"/>
        </w:rPr>
        <w:t>Figures</w:t>
      </w:r>
    </w:p>
    <w:p>
      <w:pPr>
        <w:pStyle w:val="Title"/>
        <w:rPr>
          <w:rFonts w:ascii="Times New Roman" w:hAnsi="Times New Roman"/>
          <w:sz w:val="20"/>
          <w:szCs w:val="20"/>
        </w:rPr>
      </w:pPr>
      <w:r>
        <w:rPr>
          <w:rFonts w:ascii="Times New Roman" w:hAnsi="Times New Roman"/>
          <w:sz w:val="20"/>
          <w:szCs w:val="20"/>
        </w:rPr>
      </w:r>
    </w:p>
    <w:p>
      <w:pPr>
        <w:pStyle w:val="Normal"/>
        <w:rPr/>
      </w:pPr>
      <w:r>
        <w:rPr/>
        <w:drawing>
          <wp:inline distT="0" distB="0" distL="114935" distR="114935">
            <wp:extent cx="6464300" cy="7391400"/>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6"/>
                    <a:stretch>
                      <a:fillRect/>
                    </a:stretch>
                  </pic:blipFill>
                  <pic:spPr bwMode="auto">
                    <a:xfrm>
                      <a:off x="0" y="0"/>
                      <a:ext cx="6464300" cy="7391400"/>
                    </a:xfrm>
                    <a:prstGeom prst="rect">
                      <a:avLst/>
                    </a:prstGeom>
                    <a:noFill/>
                    <a:ln w="9525">
                      <a:noFill/>
                      <a:miter lim="800000"/>
                      <a:headEnd/>
                      <a:tailEnd/>
                    </a:ln>
                  </pic:spPr>
                </pic:pic>
              </a:graphicData>
            </a:graphic>
          </wp:inline>
        </w:drawing>
      </w:r>
    </w:p>
    <w:p>
      <w:pPr>
        <w:pStyle w:val="Normal"/>
        <w:rPr>
          <w:rFonts w:ascii="Times New Roman" w:hAnsi="Times New Roman"/>
          <w:sz w:val="20"/>
          <w:szCs w:val="20"/>
        </w:rPr>
      </w:pPr>
      <w:r>
        <w:rPr>
          <w:rFonts w:ascii="Times New Roman" w:hAnsi="Times New Roman"/>
          <w:b/>
          <w:sz w:val="20"/>
          <w:szCs w:val="20"/>
        </w:rPr>
        <w:t>Figure 1.</w:t>
      </w:r>
      <w:r>
        <w:rPr>
          <w:rFonts w:ascii="Times New Roman" w:hAnsi="Times New Roman"/>
          <w:sz w:val="20"/>
          <w:szCs w:val="20"/>
        </w:rPr>
        <w:t xml:space="preserve"> </w:t>
      </w:r>
      <w:r>
        <w:rPr/>
        <w:t xml:space="preserve">CPUE Series used in the 2013 albacore ASPIC assessment. </w:t>
      </w:r>
      <w:r>
        <w:rPr>
          <w:rFonts w:ascii="Times New Roman" w:hAnsi="Times New Roman"/>
          <w:sz w:val="20"/>
          <w:szCs w:val="20"/>
        </w:rPr>
        <w:t>Points are the standardised indices, the red line is a common loess smoother fitted to all series and the blue a loess smoother fitted by series.</w:t>
      </w:r>
    </w:p>
    <w:p>
      <w:pPr>
        <w:pStyle w:val="Normal"/>
        <w:rPr/>
      </w:pPr>
      <w:r>
        <w:rPr/>
      </w:r>
    </w:p>
    <w:p>
      <w:pPr>
        <w:pStyle w:val="Normal"/>
        <w:rPr/>
      </w:pPr>
      <w:r>
        <w:rPr/>
        <w:drawing>
          <wp:inline distT="0" distB="0" distL="114935" distR="114935">
            <wp:extent cx="6464300" cy="6464300"/>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7"/>
                    <a:stretch>
                      <a:fillRect/>
                    </a:stretch>
                  </pic:blipFill>
                  <pic:spPr bwMode="auto">
                    <a:xfrm>
                      <a:off x="0" y="0"/>
                      <a:ext cx="6464300" cy="6464300"/>
                    </a:xfrm>
                    <a:prstGeom prst="rect">
                      <a:avLst/>
                    </a:prstGeom>
                    <a:noFill/>
                    <a:ln w="9525">
                      <a:noFill/>
                      <a:miter lim="800000"/>
                      <a:headEnd/>
                      <a:tailEnd/>
                    </a:ln>
                  </pic:spPr>
                </pic:pic>
              </a:graphicData>
            </a:graphic>
          </wp:inline>
        </w:drawing>
      </w:r>
    </w:p>
    <w:p>
      <w:pPr>
        <w:pStyle w:val="SourceCode"/>
        <w:rPr>
          <w:rStyle w:val="VerbatimChar"/>
          <w:rFonts w:ascii="Times New Roman" w:hAnsi="Times New Roman"/>
          <w:sz w:val="20"/>
          <w:szCs w:val="20"/>
        </w:rPr>
      </w:pPr>
      <w:r>
        <w:rPr>
          <w:rStyle w:val="VerbatimChar"/>
          <w:rFonts w:ascii="Times New Roman" w:hAnsi="Times New Roman"/>
          <w:sz w:val="20"/>
          <w:szCs w:val="20"/>
        </w:rPr>
        <w:t>NULL</w:t>
      </w:r>
    </w:p>
    <w:p>
      <w:pPr>
        <w:pStyle w:val="Normal"/>
        <w:rPr>
          <w:rFonts w:ascii="Times New Roman" w:hAnsi="Times New Roman"/>
          <w:sz w:val="20"/>
          <w:szCs w:val="20"/>
        </w:rPr>
      </w:pPr>
      <w:r>
        <w:rPr>
          <w:rFonts w:ascii="Times New Roman" w:hAnsi="Times New Roman"/>
          <w:b/>
          <w:sz w:val="20"/>
          <w:szCs w:val="20"/>
        </w:rPr>
        <w:t>Figure 2.</w:t>
      </w:r>
      <w:r>
        <w:rPr>
          <w:rFonts w:ascii="Times New Roman" w:hAnsi="Times New Roman"/>
          <w:sz w:val="20"/>
          <w:szCs w:val="20"/>
        </w:rPr>
        <w:t xml:space="preserve"> Hierachical cluster analysis of CPUE series.</w:t>
      </w:r>
    </w:p>
    <w:p>
      <w:pPr>
        <w:pStyle w:val="Normal"/>
        <w:rPr/>
      </w:pPr>
      <w:r>
        <w:rPr/>
        <w:drawing>
          <wp:inline distT="0" distB="0" distL="114935" distR="114935">
            <wp:extent cx="6464300" cy="6464300"/>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8"/>
                    <a:stretch>
                      <a:fillRect/>
                    </a:stretch>
                  </pic:blipFill>
                  <pic:spPr bwMode="auto">
                    <a:xfrm>
                      <a:off x="0" y="0"/>
                      <a:ext cx="6464300" cy="6464300"/>
                    </a:xfrm>
                    <a:prstGeom prst="rect">
                      <a:avLst/>
                    </a:prstGeom>
                    <a:noFill/>
                    <a:ln w="9525">
                      <a:noFill/>
                      <a:miter lim="800000"/>
                      <a:headEnd/>
                      <a:tailEnd/>
                    </a:ln>
                  </pic:spPr>
                </pic:pic>
              </a:graphicData>
            </a:graphic>
          </wp:inline>
        </w:drawing>
      </w:r>
    </w:p>
    <w:p>
      <w:pPr>
        <w:pStyle w:val="Normal"/>
        <w:rPr>
          <w:rFonts w:ascii="Times New Roman" w:hAnsi="Times New Roman"/>
          <w:sz w:val="20"/>
          <w:szCs w:val="20"/>
        </w:rPr>
      </w:pPr>
      <w:r>
        <w:rPr>
          <w:rFonts w:ascii="Times New Roman" w:hAnsi="Times New Roman"/>
          <w:b/>
          <w:sz w:val="20"/>
          <w:szCs w:val="20"/>
        </w:rPr>
        <w:t>Figure 3.</w:t>
      </w:r>
      <w:r>
        <w:rPr>
          <w:rFonts w:ascii="Times New Roman" w:hAnsi="Times New Roman"/>
          <w:sz w:val="20"/>
          <w:szCs w:val="20"/>
        </w:rPr>
        <w:t xml:space="preserve"> Fits to North Atlantic albacore, by scenario.</w:t>
      </w:r>
    </w:p>
    <w:p>
      <w:pPr>
        <w:pStyle w:val="Normal"/>
        <w:rPr/>
      </w:pPr>
      <w:r>
        <w:rPr/>
        <w:drawing>
          <wp:inline distT="0" distB="0" distL="114935" distR="114935">
            <wp:extent cx="5537200" cy="7391400"/>
            <wp:effectExtent l="0" t="0" r="0" b="0"/>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9"/>
                    <a:stretch>
                      <a:fillRect/>
                    </a:stretch>
                  </pic:blipFill>
                  <pic:spPr bwMode="auto">
                    <a:xfrm>
                      <a:off x="0" y="0"/>
                      <a:ext cx="5537200" cy="7391400"/>
                    </a:xfrm>
                    <a:prstGeom prst="rect">
                      <a:avLst/>
                    </a:prstGeom>
                    <a:noFill/>
                    <a:ln w="9525">
                      <a:noFill/>
                      <a:miter lim="800000"/>
                      <a:headEnd/>
                      <a:tailEnd/>
                    </a:ln>
                  </pic:spPr>
                </pic:pic>
              </a:graphicData>
            </a:graphic>
          </wp:inline>
        </w:drawing>
      </w:r>
    </w:p>
    <w:p>
      <w:pPr>
        <w:pStyle w:val="Normal"/>
        <w:rPr>
          <w:rFonts w:ascii="Times New Roman" w:hAnsi="Times New Roman"/>
          <w:sz w:val="20"/>
          <w:szCs w:val="20"/>
        </w:rPr>
      </w:pPr>
      <w:r>
        <w:rPr>
          <w:rFonts w:ascii="Times New Roman" w:hAnsi="Times New Roman"/>
          <w:b/>
          <w:sz w:val="20"/>
          <w:szCs w:val="20"/>
        </w:rPr>
        <w:t>Figure 4.</w:t>
      </w:r>
      <w:r>
        <w:rPr>
          <w:rFonts w:ascii="Times New Roman" w:hAnsi="Times New Roman"/>
          <w:sz w:val="20"/>
          <w:szCs w:val="20"/>
        </w:rPr>
        <w:t xml:space="preserve"> Likellihood profiles of K for North Atlantic albacore. The bottom row shows Scenario 4 on two different scales.</w:t>
      </w:r>
    </w:p>
    <w:p>
      <w:pPr>
        <w:pStyle w:val="Normal"/>
        <w:rPr/>
      </w:pPr>
      <w:r>
        <w:rPr/>
        <w:drawing>
          <wp:inline distT="0" distB="0" distL="114935" distR="114935">
            <wp:extent cx="6464300" cy="6464300"/>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10"/>
                    <a:stretch>
                      <a:fillRect/>
                    </a:stretch>
                  </pic:blipFill>
                  <pic:spPr bwMode="auto">
                    <a:xfrm>
                      <a:off x="0" y="0"/>
                      <a:ext cx="6464300" cy="6464300"/>
                    </a:xfrm>
                    <a:prstGeom prst="rect">
                      <a:avLst/>
                    </a:prstGeom>
                    <a:noFill/>
                    <a:ln w="9525">
                      <a:noFill/>
                      <a:miter lim="800000"/>
                      <a:headEnd/>
                      <a:tailEnd/>
                    </a:ln>
                  </pic:spPr>
                </pic:pic>
              </a:graphicData>
            </a:graphic>
          </wp:inline>
        </w:drawing>
      </w:r>
    </w:p>
    <w:p>
      <w:pPr>
        <w:pStyle w:val="Normal"/>
        <w:rPr>
          <w:rFonts w:ascii="Times New Roman" w:hAnsi="Times New Roman"/>
          <w:sz w:val="20"/>
          <w:szCs w:val="20"/>
        </w:rPr>
      </w:pPr>
      <w:r>
        <w:rPr>
          <w:rFonts w:ascii="Times New Roman" w:hAnsi="Times New Roman"/>
          <w:b/>
          <w:sz w:val="20"/>
          <w:szCs w:val="20"/>
        </w:rPr>
        <w:t>Figure 5.</w:t>
      </w:r>
      <w:r>
        <w:rPr>
          <w:rFonts w:ascii="Times New Roman" w:hAnsi="Times New Roman"/>
          <w:sz w:val="20"/>
          <w:szCs w:val="20"/>
        </w:rPr>
        <w:t xml:space="preserve"> Projected time series of biomass, using biodyn and the aspic estimates.</w:t>
      </w:r>
    </w:p>
    <w:p>
      <w:pPr>
        <w:pStyle w:val="Normal"/>
        <w:rPr/>
      </w:pPr>
      <w:r>
        <w:rPr/>
        <w:drawing>
          <wp:inline distT="0" distB="0" distL="114935" distR="114935">
            <wp:extent cx="6464300" cy="6464300"/>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11"/>
                    <a:stretch>
                      <a:fillRect/>
                    </a:stretch>
                  </pic:blipFill>
                  <pic:spPr bwMode="auto">
                    <a:xfrm>
                      <a:off x="0" y="0"/>
                      <a:ext cx="6464300" cy="6464300"/>
                    </a:xfrm>
                    <a:prstGeom prst="rect">
                      <a:avLst/>
                    </a:prstGeom>
                    <a:noFill/>
                    <a:ln w="9525">
                      <a:noFill/>
                      <a:miter lim="800000"/>
                      <a:headEnd/>
                      <a:tailEnd/>
                    </a:ln>
                  </pic:spPr>
                </pic:pic>
              </a:graphicData>
            </a:graphic>
          </wp:inline>
        </w:drawing>
      </w:r>
    </w:p>
    <w:p>
      <w:pPr>
        <w:pStyle w:val="Normal"/>
        <w:rPr>
          <w:rFonts w:ascii="Times New Roman" w:hAnsi="Times New Roman"/>
          <w:sz w:val="20"/>
          <w:szCs w:val="20"/>
        </w:rPr>
      </w:pPr>
      <w:r>
        <w:rPr>
          <w:rFonts w:ascii="Times New Roman" w:hAnsi="Times New Roman"/>
          <w:b/>
          <w:sz w:val="20"/>
          <w:szCs w:val="20"/>
        </w:rPr>
        <w:t>Figure 6.</w:t>
      </w:r>
      <w:r>
        <w:rPr>
          <w:rFonts w:ascii="Times New Roman" w:hAnsi="Times New Roman"/>
          <w:sz w:val="20"/>
          <w:szCs w:val="20"/>
        </w:rPr>
        <w:t xml:space="preserve"> Fitted time series of biomass.</w:t>
      </w:r>
    </w:p>
    <w:p>
      <w:pPr>
        <w:pStyle w:val="Normal"/>
        <w:rPr/>
      </w:pPr>
      <w:r>
        <w:rPr/>
      </w:r>
    </w:p>
    <w:p>
      <w:pPr>
        <w:pStyle w:val="Normal"/>
        <w:pageBreakBefore/>
        <w:rPr/>
      </w:pPr>
      <w:r>
        <w:rPr/>
      </w:r>
    </w:p>
    <w:p>
      <w:pPr>
        <w:pStyle w:val="Normal"/>
        <w:rPr/>
      </w:pPr>
      <w:r>
        <w:rPr/>
        <w:drawing>
          <wp:inline distT="0" distB="0" distL="114935" distR="114935">
            <wp:extent cx="5817870" cy="3683000"/>
            <wp:effectExtent l="0" t="0" r="0" b="0"/>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2"/>
                    <a:stretch>
                      <a:fillRect/>
                    </a:stretch>
                  </pic:blipFill>
                  <pic:spPr bwMode="auto">
                    <a:xfrm>
                      <a:off x="0" y="0"/>
                      <a:ext cx="5817870" cy="3683000"/>
                    </a:xfrm>
                    <a:prstGeom prst="rect">
                      <a:avLst/>
                    </a:prstGeom>
                    <a:noFill/>
                    <a:ln w="9525">
                      <a:noFill/>
                      <a:miter lim="800000"/>
                      <a:headEnd/>
                      <a:tailEnd/>
                    </a:ln>
                  </pic:spPr>
                </pic:pic>
              </a:graphicData>
            </a:graphic>
          </wp:inline>
        </w:drawing>
      </w:r>
    </w:p>
    <w:p>
      <w:pPr>
        <w:pStyle w:val="Normal"/>
        <w:rPr>
          <w:rFonts w:ascii="Times New Roman" w:hAnsi="Times New Roman"/>
          <w:sz w:val="20"/>
          <w:szCs w:val="20"/>
        </w:rPr>
      </w:pPr>
      <w:r>
        <w:rPr>
          <w:rFonts w:ascii="Times New Roman" w:hAnsi="Times New Roman"/>
          <w:b/>
          <w:sz w:val="20"/>
          <w:szCs w:val="20"/>
        </w:rPr>
        <w:t>Figure 7.</w:t>
      </w:r>
      <w:r>
        <w:rPr>
          <w:rFonts w:ascii="Times New Roman" w:hAnsi="Times New Roman"/>
          <w:sz w:val="20"/>
          <w:szCs w:val="20"/>
        </w:rPr>
        <w:t xml:space="preserve"> Jackknife estimates of r.</w:t>
      </w:r>
    </w:p>
    <w:p>
      <w:pPr>
        <w:pStyle w:val="Normal"/>
        <w:rPr/>
      </w:pPr>
      <w:r>
        <w:rPr/>
      </w:r>
    </w:p>
    <w:p>
      <w:pPr>
        <w:pStyle w:val="Normal"/>
        <w:pageBreakBefore/>
        <w:rPr/>
      </w:pPr>
      <w:r>
        <w:rPr/>
      </w:r>
    </w:p>
    <w:p>
      <w:pPr>
        <w:pStyle w:val="Normal"/>
        <w:rPr/>
      </w:pPr>
      <w:r>
        <w:rPr/>
        <w:drawing>
          <wp:inline distT="0" distB="0" distL="114935" distR="114935">
            <wp:extent cx="5913120" cy="3923030"/>
            <wp:effectExtent l="0" t="0" r="0" b="0"/>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3"/>
                    <a:stretch>
                      <a:fillRect/>
                    </a:stretch>
                  </pic:blipFill>
                  <pic:spPr bwMode="auto">
                    <a:xfrm>
                      <a:off x="0" y="0"/>
                      <a:ext cx="5913120" cy="3923030"/>
                    </a:xfrm>
                    <a:prstGeom prst="rect">
                      <a:avLst/>
                    </a:prstGeom>
                    <a:noFill/>
                    <a:ln w="9525">
                      <a:noFill/>
                      <a:miter lim="800000"/>
                      <a:headEnd/>
                      <a:tailEnd/>
                    </a:ln>
                  </pic:spPr>
                </pic:pic>
              </a:graphicData>
            </a:graphic>
          </wp:inline>
        </w:drawing>
      </w:r>
    </w:p>
    <w:p>
      <w:pPr>
        <w:pStyle w:val="Normal"/>
        <w:rPr>
          <w:rFonts w:ascii="Times New Roman" w:hAnsi="Times New Roman"/>
          <w:sz w:val="20"/>
          <w:szCs w:val="20"/>
        </w:rPr>
      </w:pPr>
      <w:r>
        <w:rPr>
          <w:rFonts w:ascii="Times New Roman" w:hAnsi="Times New Roman"/>
          <w:b/>
          <w:sz w:val="20"/>
          <w:szCs w:val="20"/>
        </w:rPr>
        <w:t>Figure 8.</w:t>
      </w:r>
      <w:r>
        <w:rPr>
          <w:rFonts w:ascii="Times New Roman" w:hAnsi="Times New Roman"/>
          <w:sz w:val="20"/>
          <w:szCs w:val="20"/>
        </w:rPr>
        <w:t xml:space="preserve"> Jackknife K.</w:t>
      </w:r>
    </w:p>
    <w:p>
      <w:pPr>
        <w:pStyle w:val="Normal"/>
        <w:rPr/>
      </w:pPr>
      <w:r>
        <w:rPr/>
      </w:r>
    </w:p>
    <w:p>
      <w:pPr>
        <w:pStyle w:val="Normal"/>
        <w:pageBreakBefore/>
        <w:rPr/>
      </w:pPr>
      <w:r>
        <w:rPr/>
      </w:r>
    </w:p>
    <w:p>
      <w:pPr>
        <w:pStyle w:val="Normal"/>
        <w:pageBreakBefore/>
        <w:rPr/>
      </w:pPr>
      <w:r>
        <w:rPr/>
        <w:drawing>
          <wp:inline distT="0" distB="0" distL="114935" distR="114935">
            <wp:extent cx="6464300" cy="6464300"/>
            <wp:effectExtent l="0" t="0" r="0" b="0"/>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4"/>
                    <a:stretch>
                      <a:fillRect/>
                    </a:stretch>
                  </pic:blipFill>
                  <pic:spPr bwMode="auto">
                    <a:xfrm>
                      <a:off x="0" y="0"/>
                      <a:ext cx="6464300" cy="6464300"/>
                    </a:xfrm>
                    <a:prstGeom prst="rect">
                      <a:avLst/>
                    </a:prstGeom>
                    <a:noFill/>
                    <a:ln w="9525">
                      <a:noFill/>
                      <a:miter lim="800000"/>
                      <a:headEnd/>
                      <a:tailEnd/>
                    </a:ln>
                  </pic:spPr>
                </pic:pic>
              </a:graphicData>
            </a:graphic>
          </wp:inline>
        </w:drawing>
      </w:r>
    </w:p>
    <w:p>
      <w:pPr>
        <w:pStyle w:val="Normal"/>
        <w:rPr>
          <w:rFonts w:ascii="Times New Roman" w:hAnsi="Times New Roman"/>
          <w:sz w:val="20"/>
          <w:szCs w:val="20"/>
        </w:rPr>
      </w:pPr>
      <w:r>
        <w:rPr>
          <w:rFonts w:ascii="Times New Roman" w:hAnsi="Times New Roman"/>
          <w:b/>
          <w:sz w:val="20"/>
          <w:szCs w:val="20"/>
        </w:rPr>
        <w:t>Figure 9.</w:t>
      </w:r>
      <w:r>
        <w:rPr>
          <w:rFonts w:ascii="Times New Roman" w:hAnsi="Times New Roman"/>
          <w:sz w:val="20"/>
          <w:szCs w:val="20"/>
        </w:rPr>
        <w:t xml:space="preserve"> Hindcast</w:t>
      </w:r>
    </w:p>
    <w:p>
      <w:pPr>
        <w:pStyle w:val="Normal"/>
        <w:rPr/>
      </w:pPr>
      <w:r>
        <w:rPr/>
        <w:drawing>
          <wp:inline distT="0" distB="0" distL="114935" distR="114935">
            <wp:extent cx="6464300" cy="6464300"/>
            <wp:effectExtent l="0" t="0" r="0" b="0"/>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5"/>
                    <a:stretch>
                      <a:fillRect/>
                    </a:stretch>
                  </pic:blipFill>
                  <pic:spPr bwMode="auto">
                    <a:xfrm>
                      <a:off x="0" y="0"/>
                      <a:ext cx="6464300" cy="6464300"/>
                    </a:xfrm>
                    <a:prstGeom prst="rect">
                      <a:avLst/>
                    </a:prstGeom>
                    <a:noFill/>
                    <a:ln w="9525">
                      <a:noFill/>
                      <a:miter lim="800000"/>
                      <a:headEnd/>
                      <a:tailEnd/>
                    </a:ln>
                  </pic:spPr>
                </pic:pic>
              </a:graphicData>
            </a:graphic>
          </wp:inline>
        </w:drawing>
      </w:r>
    </w:p>
    <w:p>
      <w:pPr>
        <w:pStyle w:val="Normal"/>
        <w:rPr>
          <w:rFonts w:ascii="Times New Roman" w:hAnsi="Times New Roman"/>
          <w:sz w:val="20"/>
          <w:szCs w:val="20"/>
        </w:rPr>
      </w:pPr>
      <w:r>
        <w:rPr>
          <w:rFonts w:ascii="Times New Roman" w:hAnsi="Times New Roman"/>
          <w:b/>
          <w:sz w:val="20"/>
          <w:szCs w:val="20"/>
        </w:rPr>
        <w:t>Figure 10.</w:t>
      </w:r>
      <w:r>
        <w:rPr>
          <w:rFonts w:ascii="Times New Roman" w:hAnsi="Times New Roman"/>
          <w:sz w:val="20"/>
          <w:szCs w:val="20"/>
        </w:rPr>
        <w:t xml:space="preserve"> Hindcast</w:t>
      </w:r>
    </w:p>
    <w:p>
      <w:pPr>
        <w:pStyle w:val="SourceCode"/>
        <w:rPr>
          <w:rStyle w:val="VerbatimChar"/>
          <w:rFonts w:ascii="Times New Roman" w:hAnsi="Times New Roman"/>
          <w:sz w:val="20"/>
          <w:szCs w:val="20"/>
        </w:rPr>
      </w:pPr>
      <w:r>
        <w:rPr>
          <w:rStyle w:val="VerbatimChar"/>
          <w:rFonts w:ascii="Times New Roman" w:hAnsi="Times New Roman"/>
          <w:sz w:val="20"/>
          <w:szCs w:val="20"/>
        </w:rPr>
        <w:t>Warning: Removed 9 rows containing missing values (geom_path).</w:t>
      </w:r>
    </w:p>
    <w:p>
      <w:pPr>
        <w:pStyle w:val="Normal"/>
        <w:rPr/>
      </w:pPr>
      <w:r>
        <w:rPr/>
        <w:drawing>
          <wp:inline distT="0" distB="0" distL="114935" distR="114935">
            <wp:extent cx="6464300" cy="6464300"/>
            <wp:effectExtent l="0" t="0" r="0" b="0"/>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6"/>
                    <a:stretch>
                      <a:fillRect/>
                    </a:stretch>
                  </pic:blipFill>
                  <pic:spPr bwMode="auto">
                    <a:xfrm>
                      <a:off x="0" y="0"/>
                      <a:ext cx="6464300" cy="6464300"/>
                    </a:xfrm>
                    <a:prstGeom prst="rect">
                      <a:avLst/>
                    </a:prstGeom>
                    <a:noFill/>
                    <a:ln w="9525">
                      <a:noFill/>
                      <a:miter lim="800000"/>
                      <a:headEnd/>
                      <a:tailEnd/>
                    </a:ln>
                  </pic:spPr>
                </pic:pic>
              </a:graphicData>
            </a:graphic>
          </wp:inline>
        </w:drawing>
      </w:r>
    </w:p>
    <w:p>
      <w:pPr>
        <w:pStyle w:val="Normal"/>
        <w:rPr>
          <w:rFonts w:ascii="Times New Roman" w:hAnsi="Times New Roman"/>
          <w:sz w:val="20"/>
          <w:szCs w:val="20"/>
        </w:rPr>
      </w:pPr>
      <w:r>
        <w:rPr>
          <w:rFonts w:ascii="Times New Roman" w:hAnsi="Times New Roman"/>
          <w:b/>
          <w:sz w:val="20"/>
          <w:szCs w:val="20"/>
        </w:rPr>
        <w:t>Figure 11.</w:t>
      </w:r>
      <w:r>
        <w:rPr>
          <w:rFonts w:ascii="Times New Roman" w:hAnsi="Times New Roman"/>
          <w:sz w:val="20"/>
          <w:szCs w:val="20"/>
        </w:rPr>
        <w:t xml:space="preserve"> Hindcast</w:t>
      </w:r>
    </w:p>
    <w:p>
      <w:pPr>
        <w:pStyle w:val="SourceCode"/>
        <w:rPr>
          <w:rStyle w:val="VerbatimChar"/>
          <w:rFonts w:ascii="Times New Roman" w:hAnsi="Times New Roman"/>
          <w:sz w:val="20"/>
          <w:szCs w:val="20"/>
        </w:rPr>
      </w:pPr>
      <w:r>
        <w:rPr>
          <w:rStyle w:val="VerbatimChar"/>
          <w:rFonts w:ascii="Times New Roman" w:hAnsi="Times New Roman"/>
          <w:sz w:val="20"/>
          <w:szCs w:val="20"/>
        </w:rPr>
        <w:t>Warning: Removed 9 rows containing missing values (geom_path).</w:t>
      </w:r>
    </w:p>
    <w:p>
      <w:pPr>
        <w:pStyle w:val="Normal"/>
        <w:rPr/>
      </w:pPr>
      <w:r>
        <w:rPr/>
        <w:drawing>
          <wp:inline distT="0" distB="0" distL="114935" distR="114935">
            <wp:extent cx="6464300" cy="6464300"/>
            <wp:effectExtent l="0" t="0" r="0" b="0"/>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7"/>
                    <a:stretch>
                      <a:fillRect/>
                    </a:stretch>
                  </pic:blipFill>
                  <pic:spPr bwMode="auto">
                    <a:xfrm>
                      <a:off x="0" y="0"/>
                      <a:ext cx="6464300" cy="6464300"/>
                    </a:xfrm>
                    <a:prstGeom prst="rect">
                      <a:avLst/>
                    </a:prstGeom>
                    <a:noFill/>
                    <a:ln w="9525">
                      <a:noFill/>
                      <a:miter lim="800000"/>
                      <a:headEnd/>
                      <a:tailEnd/>
                    </a:ln>
                  </pic:spPr>
                </pic:pic>
              </a:graphicData>
            </a:graphic>
          </wp:inline>
        </w:drawing>
      </w:r>
    </w:p>
    <w:p>
      <w:pPr>
        <w:pStyle w:val="Normal"/>
        <w:rPr>
          <w:rFonts w:ascii="Times New Roman" w:hAnsi="Times New Roman"/>
          <w:sz w:val="20"/>
          <w:szCs w:val="20"/>
        </w:rPr>
      </w:pPr>
      <w:r>
        <w:rPr>
          <w:rFonts w:ascii="Times New Roman" w:hAnsi="Times New Roman"/>
          <w:b/>
          <w:sz w:val="20"/>
          <w:szCs w:val="20"/>
        </w:rPr>
        <w:t>Figure 12.</w:t>
      </w:r>
      <w:r>
        <w:rPr>
          <w:rFonts w:ascii="Times New Roman" w:hAnsi="Times New Roman"/>
          <w:sz w:val="20"/>
          <w:szCs w:val="20"/>
        </w:rPr>
        <w:t xml:space="preserve"> Hindcast</w:t>
      </w:r>
    </w:p>
    <w:p>
      <w:pPr>
        <w:pStyle w:val="Normal"/>
        <w:rPr/>
      </w:pPr>
      <w:r>
        <w:rPr/>
        <w:drawing>
          <wp:inline distT="0" distB="0" distL="114935" distR="114935">
            <wp:extent cx="6464300" cy="7391400"/>
            <wp:effectExtent l="0" t="0" r="0" b="0"/>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8"/>
                    <a:stretch>
                      <a:fillRect/>
                    </a:stretch>
                  </pic:blipFill>
                  <pic:spPr bwMode="auto">
                    <a:xfrm>
                      <a:off x="0" y="0"/>
                      <a:ext cx="6464300" cy="7391400"/>
                    </a:xfrm>
                    <a:prstGeom prst="rect">
                      <a:avLst/>
                    </a:prstGeom>
                    <a:noFill/>
                    <a:ln w="9525">
                      <a:noFill/>
                      <a:miter lim="800000"/>
                      <a:headEnd/>
                      <a:tailEnd/>
                    </a:ln>
                  </pic:spPr>
                </pic:pic>
              </a:graphicData>
            </a:graphic>
          </wp:inline>
        </w:drawing>
      </w:r>
    </w:p>
    <w:p>
      <w:pPr>
        <w:pStyle w:val="Normal"/>
        <w:rPr>
          <w:rFonts w:ascii="Times New Roman" w:hAnsi="Times New Roman"/>
          <w:sz w:val="20"/>
          <w:szCs w:val="20"/>
        </w:rPr>
      </w:pPr>
      <w:r>
        <w:rPr>
          <w:rFonts w:ascii="Times New Roman" w:hAnsi="Times New Roman"/>
          <w:b/>
          <w:sz w:val="20"/>
          <w:szCs w:val="20"/>
        </w:rPr>
        <w:t>Figure 13.</w:t>
      </w:r>
      <w:r>
        <w:rPr>
          <w:rFonts w:ascii="Times New Roman" w:hAnsi="Times New Roman"/>
          <w:sz w:val="20"/>
          <w:szCs w:val="20"/>
        </w:rPr>
        <w:t xml:space="preserve"> Hindcast</w:t>
      </w:r>
    </w:p>
    <w:p>
      <w:pPr>
        <w:pStyle w:val="Normal"/>
        <w:rPr/>
      </w:pPr>
      <w:r>
        <w:rPr/>
      </w:r>
    </w:p>
    <w:p>
      <w:pPr>
        <w:pStyle w:val="Normal"/>
        <w:pageBreakBefore/>
        <w:rPr/>
      </w:pPr>
      <w:r>
        <w:rPr/>
        <w:drawing>
          <wp:inline distT="0" distB="0" distL="114935" distR="114935">
            <wp:extent cx="5541645" cy="5198110"/>
            <wp:effectExtent l="0" t="0" r="0" b="0"/>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19"/>
                    <a:stretch>
                      <a:fillRect/>
                    </a:stretch>
                  </pic:blipFill>
                  <pic:spPr bwMode="auto">
                    <a:xfrm>
                      <a:off x="0" y="0"/>
                      <a:ext cx="5541645" cy="5198110"/>
                    </a:xfrm>
                    <a:prstGeom prst="rect">
                      <a:avLst/>
                    </a:prstGeom>
                    <a:noFill/>
                    <a:ln w="9525">
                      <a:noFill/>
                      <a:miter lim="800000"/>
                      <a:headEnd/>
                      <a:tailEnd/>
                    </a:ln>
                  </pic:spPr>
                </pic:pic>
              </a:graphicData>
            </a:graphic>
          </wp:inline>
        </w:drawing>
      </w:r>
    </w:p>
    <w:p>
      <w:pPr>
        <w:pStyle w:val="Normal"/>
        <w:rPr/>
      </w:pPr>
      <w:r>
        <w:rPr/>
      </w:r>
    </w:p>
    <w:p>
      <w:pPr>
        <w:pStyle w:val="Normal"/>
        <w:rPr>
          <w:rFonts w:ascii="Times New Roman" w:hAnsi="Times New Roman"/>
          <w:sz w:val="20"/>
          <w:szCs w:val="20"/>
        </w:rPr>
      </w:pPr>
      <w:r>
        <w:rPr>
          <w:rFonts w:ascii="Times New Roman" w:hAnsi="Times New Roman"/>
          <w:b/>
          <w:sz w:val="20"/>
          <w:szCs w:val="20"/>
        </w:rPr>
        <w:t>Figure 14.</w:t>
      </w:r>
      <w:r>
        <w:rPr>
          <w:rFonts w:ascii="Times New Roman" w:hAnsi="Times New Roman"/>
          <w:sz w:val="20"/>
          <w:szCs w:val="20"/>
        </w:rPr>
        <w:t xml:space="preserve"> Jackknife K.</w:t>
      </w:r>
    </w:p>
    <w:p>
      <w:pPr>
        <w:pStyle w:val="Normal"/>
        <w:rPr>
          <w:rFonts w:ascii="Times New Roman" w:hAnsi="Times New Roman"/>
          <w:sz w:val="20"/>
          <w:szCs w:val="20"/>
        </w:rPr>
      </w:pPr>
      <w:r>
        <w:rPr>
          <w:rFonts w:ascii="Times New Roman" w:hAnsi="Times New Roman"/>
          <w:sz w:val="20"/>
          <w:szCs w:val="20"/>
        </w:rPr>
        <w:br/>
      </w:r>
    </w:p>
    <w:p>
      <w:pPr>
        <w:pStyle w:val="Normal"/>
        <w:rPr/>
      </w:pPr>
      <w:r>
        <w:rPr/>
        <w:drawing>
          <wp:inline distT="0" distB="0" distL="114935" distR="114935">
            <wp:extent cx="6464300" cy="6464300"/>
            <wp:effectExtent l="0" t="0" r="0" b="0"/>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20"/>
                    <a:stretch>
                      <a:fillRect/>
                    </a:stretch>
                  </pic:blipFill>
                  <pic:spPr bwMode="auto">
                    <a:xfrm>
                      <a:off x="0" y="0"/>
                      <a:ext cx="6464300" cy="6464300"/>
                    </a:xfrm>
                    <a:prstGeom prst="rect">
                      <a:avLst/>
                    </a:prstGeom>
                    <a:noFill/>
                    <a:ln w="9525">
                      <a:noFill/>
                      <a:miter lim="800000"/>
                      <a:headEnd/>
                      <a:tailEnd/>
                    </a:ln>
                  </pic:spPr>
                </pic:pic>
              </a:graphicData>
            </a:graphic>
          </wp:inline>
        </w:drawing>
      </w:r>
    </w:p>
    <w:p>
      <w:pPr>
        <w:pStyle w:val="Normal"/>
        <w:rPr>
          <w:rFonts w:ascii="Times New Roman" w:hAnsi="Times New Roman"/>
          <w:sz w:val="20"/>
          <w:szCs w:val="20"/>
        </w:rPr>
      </w:pPr>
      <w:r>
        <w:rPr>
          <w:rFonts w:ascii="Times New Roman" w:hAnsi="Times New Roman"/>
          <w:b/>
          <w:sz w:val="20"/>
          <w:szCs w:val="20"/>
        </w:rPr>
        <w:t>Figure 15.</w:t>
      </w:r>
      <w:r>
        <w:rPr>
          <w:rFonts w:ascii="Times New Roman" w:hAnsi="Times New Roman"/>
          <w:sz w:val="20"/>
          <w:szCs w:val="20"/>
        </w:rPr>
        <w:t xml:space="preserve"> Hindcast</w:t>
      </w:r>
    </w:p>
    <w:p>
      <w:pPr>
        <w:pStyle w:val="Normal"/>
        <w:rPr/>
      </w:pPr>
      <w:r>
        <w:rPr/>
        <w:drawing>
          <wp:inline distT="0" distB="0" distL="114935" distR="114935">
            <wp:extent cx="6464300" cy="6464300"/>
            <wp:effectExtent l="0" t="0" r="0" b="0"/>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21"/>
                    <a:stretch>
                      <a:fillRect/>
                    </a:stretch>
                  </pic:blipFill>
                  <pic:spPr bwMode="auto">
                    <a:xfrm>
                      <a:off x="0" y="0"/>
                      <a:ext cx="6464300" cy="6464300"/>
                    </a:xfrm>
                    <a:prstGeom prst="rect">
                      <a:avLst/>
                    </a:prstGeom>
                    <a:noFill/>
                    <a:ln w="9525">
                      <a:noFill/>
                      <a:miter lim="800000"/>
                      <a:headEnd/>
                      <a:tailEnd/>
                    </a:ln>
                  </pic:spPr>
                </pic:pic>
              </a:graphicData>
            </a:graphic>
          </wp:inline>
        </w:drawing>
      </w:r>
    </w:p>
    <w:p>
      <w:pPr>
        <w:pStyle w:val="Normal"/>
        <w:rPr>
          <w:rFonts w:ascii="Times New Roman" w:hAnsi="Times New Roman"/>
          <w:sz w:val="20"/>
          <w:szCs w:val="20"/>
        </w:rPr>
      </w:pPr>
      <w:r>
        <w:rPr>
          <w:rFonts w:ascii="Times New Roman" w:hAnsi="Times New Roman"/>
          <w:b/>
          <w:sz w:val="20"/>
          <w:szCs w:val="20"/>
        </w:rPr>
        <w:t>Figure 16.</w:t>
      </w:r>
      <w:r>
        <w:rPr>
          <w:rFonts w:ascii="Times New Roman" w:hAnsi="Times New Roman"/>
          <w:sz w:val="20"/>
          <w:szCs w:val="20"/>
        </w:rPr>
        <w:t xml:space="preserve"> Hindcast</w:t>
      </w:r>
    </w:p>
    <w:p>
      <w:pPr>
        <w:pStyle w:val="SourceCode"/>
        <w:rPr>
          <w:rStyle w:val="VerbatimChar"/>
          <w:rFonts w:ascii="Times New Roman" w:hAnsi="Times New Roman"/>
          <w:sz w:val="20"/>
          <w:szCs w:val="20"/>
        </w:rPr>
      </w:pPr>
      <w:r>
        <w:rPr>
          <w:rStyle w:val="VerbatimChar"/>
          <w:rFonts w:ascii="Times New Roman" w:hAnsi="Times New Roman"/>
          <w:sz w:val="20"/>
          <w:szCs w:val="20"/>
        </w:rPr>
        <w:t>Warning: Removed 9 rows containing missing values (geom_path).</w:t>
      </w:r>
    </w:p>
    <w:p>
      <w:pPr>
        <w:pStyle w:val="Normal"/>
        <w:rPr/>
      </w:pPr>
      <w:r>
        <w:rPr/>
        <w:drawing>
          <wp:inline distT="0" distB="0" distL="114935" distR="114935">
            <wp:extent cx="6464300" cy="6464300"/>
            <wp:effectExtent l="0" t="0" r="0" b="0"/>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22"/>
                    <a:stretch>
                      <a:fillRect/>
                    </a:stretch>
                  </pic:blipFill>
                  <pic:spPr bwMode="auto">
                    <a:xfrm>
                      <a:off x="0" y="0"/>
                      <a:ext cx="6464300" cy="6464300"/>
                    </a:xfrm>
                    <a:prstGeom prst="rect">
                      <a:avLst/>
                    </a:prstGeom>
                    <a:noFill/>
                    <a:ln w="9525">
                      <a:noFill/>
                      <a:miter lim="800000"/>
                      <a:headEnd/>
                      <a:tailEnd/>
                    </a:ln>
                  </pic:spPr>
                </pic:pic>
              </a:graphicData>
            </a:graphic>
          </wp:inline>
        </w:drawing>
      </w:r>
    </w:p>
    <w:p>
      <w:pPr>
        <w:pStyle w:val="Normal"/>
        <w:rPr>
          <w:rFonts w:ascii="Times New Roman" w:hAnsi="Times New Roman"/>
          <w:sz w:val="20"/>
          <w:szCs w:val="20"/>
        </w:rPr>
      </w:pPr>
      <w:r>
        <w:rPr>
          <w:rFonts w:ascii="Times New Roman" w:hAnsi="Times New Roman"/>
          <w:b/>
          <w:sz w:val="20"/>
          <w:szCs w:val="20"/>
        </w:rPr>
        <w:t>Figure 17.</w:t>
      </w:r>
      <w:r>
        <w:rPr>
          <w:rFonts w:ascii="Times New Roman" w:hAnsi="Times New Roman"/>
          <w:sz w:val="20"/>
          <w:szCs w:val="20"/>
        </w:rPr>
        <w:t xml:space="preserve"> Hindcast</w:t>
      </w:r>
    </w:p>
    <w:p>
      <w:pPr>
        <w:pStyle w:val="SourceCode"/>
        <w:rPr>
          <w:rStyle w:val="VerbatimChar"/>
          <w:rFonts w:ascii="Times New Roman" w:hAnsi="Times New Roman"/>
          <w:sz w:val="20"/>
          <w:szCs w:val="20"/>
        </w:rPr>
      </w:pPr>
      <w:r>
        <w:rPr>
          <w:rStyle w:val="VerbatimChar"/>
          <w:rFonts w:ascii="Times New Roman" w:hAnsi="Times New Roman"/>
          <w:sz w:val="20"/>
          <w:szCs w:val="20"/>
        </w:rPr>
        <w:t>Warning: Removed 9 rows containing missing values (geom_path).</w:t>
      </w:r>
    </w:p>
    <w:p>
      <w:pPr>
        <w:pStyle w:val="Normal"/>
        <w:rPr/>
      </w:pPr>
      <w:r>
        <w:rPr/>
        <w:drawing>
          <wp:inline distT="0" distB="0" distL="114935" distR="114935">
            <wp:extent cx="6464300" cy="6464300"/>
            <wp:effectExtent l="0" t="0" r="0" b="0"/>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23"/>
                    <a:stretch>
                      <a:fillRect/>
                    </a:stretch>
                  </pic:blipFill>
                  <pic:spPr bwMode="auto">
                    <a:xfrm>
                      <a:off x="0" y="0"/>
                      <a:ext cx="6464300" cy="6464300"/>
                    </a:xfrm>
                    <a:prstGeom prst="rect">
                      <a:avLst/>
                    </a:prstGeom>
                    <a:noFill/>
                    <a:ln w="9525">
                      <a:noFill/>
                      <a:miter lim="800000"/>
                      <a:headEnd/>
                      <a:tailEnd/>
                    </a:ln>
                  </pic:spPr>
                </pic:pic>
              </a:graphicData>
            </a:graphic>
          </wp:inline>
        </w:drawing>
      </w:r>
    </w:p>
    <w:p>
      <w:pPr>
        <w:pStyle w:val="Normal"/>
        <w:rPr>
          <w:rFonts w:ascii="Times New Roman" w:hAnsi="Times New Roman"/>
          <w:sz w:val="20"/>
          <w:szCs w:val="20"/>
        </w:rPr>
      </w:pPr>
      <w:r>
        <w:rPr>
          <w:rFonts w:ascii="Times New Roman" w:hAnsi="Times New Roman"/>
          <w:b/>
          <w:sz w:val="20"/>
          <w:szCs w:val="20"/>
        </w:rPr>
        <w:t>Figure 18.</w:t>
      </w:r>
      <w:r>
        <w:rPr>
          <w:rFonts w:ascii="Times New Roman" w:hAnsi="Times New Roman"/>
          <w:sz w:val="20"/>
          <w:szCs w:val="20"/>
        </w:rPr>
        <w:t xml:space="preserve"> Hindcast</w:t>
      </w:r>
    </w:p>
    <w:p>
      <w:pPr>
        <w:pStyle w:val="Normal"/>
        <w:rPr/>
      </w:pPr>
      <w:r>
        <w:rPr/>
        <w:drawing>
          <wp:inline distT="0" distB="0" distL="114935" distR="114935">
            <wp:extent cx="6464300" cy="7391400"/>
            <wp:effectExtent l="0" t="0" r="0" b="0"/>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24"/>
                    <a:stretch>
                      <a:fillRect/>
                    </a:stretch>
                  </pic:blipFill>
                  <pic:spPr bwMode="auto">
                    <a:xfrm>
                      <a:off x="0" y="0"/>
                      <a:ext cx="6464300" cy="7391400"/>
                    </a:xfrm>
                    <a:prstGeom prst="rect">
                      <a:avLst/>
                    </a:prstGeom>
                    <a:noFill/>
                    <a:ln w="9525">
                      <a:noFill/>
                      <a:miter lim="800000"/>
                      <a:headEnd/>
                      <a:tailEnd/>
                    </a:ln>
                  </pic:spPr>
                </pic:pic>
              </a:graphicData>
            </a:graphic>
          </wp:inline>
        </w:drawing>
      </w:r>
    </w:p>
    <w:p>
      <w:pPr>
        <w:pStyle w:val="Normal"/>
        <w:spacing w:before="0" w:after="140"/>
        <w:ind w:left="284" w:right="0" w:hanging="284"/>
        <w:jc w:val="both"/>
        <w:rPr>
          <w:rFonts w:ascii="Times New Roman" w:hAnsi="Times New Roman"/>
          <w:b/>
          <w:bCs/>
          <w:sz w:val="20"/>
          <w:szCs w:val="20"/>
        </w:rPr>
      </w:pPr>
      <w:r>
        <w:rPr>
          <w:rFonts w:ascii="Times New Roman" w:hAnsi="Times New Roman"/>
          <w:b/>
          <w:bCs/>
          <w:sz w:val="20"/>
          <w:szCs w:val="20"/>
        </w:rPr>
        <w:t>Figure 19. Hindcast</w:t>
      </w:r>
    </w:p>
    <w:sectPr>
      <w:headerReference w:type="default" r:id="rId25"/>
      <w:footerReference w:type="default" r:id="rId26"/>
      <w:footnotePr>
        <w:numFmt w:val="decimal"/>
      </w:footnotePr>
      <w:type w:val="nextPage"/>
      <w:pgSz w:w="11906" w:h="16838"/>
      <w:pgMar w:left="1418" w:right="1418" w:header="0" w:top="851" w:footer="1134" w:bottom="1418"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Consolas">
    <w:charset w:val="01"/>
    <w:family w:val="roman"/>
    <w:pitch w:val="variable"/>
  </w:font>
  <w:font w:name="Segoe UI">
    <w:charset w:val="01"/>
    <w:family w:val="roman"/>
    <w:pitch w:val="variable"/>
  </w:font>
  <w:font w:name="OpenSymbol">
    <w:altName w:val="Arial Unicode MS"/>
    <w:charset w:val="01"/>
    <w:family w:val="roman"/>
    <w:pitch w:val="variable"/>
  </w:font>
  <w:font w:name="Symbol">
    <w:charset w:val="01"/>
    <w:family w:val="roman"/>
    <w:pitch w:val="variable"/>
  </w:font>
  <w:font w:name="Courier New">
    <w:charset w:val="01"/>
    <w:family w:val="roman"/>
    <w:pitch w:val="variable"/>
  </w:font>
  <w:font w:name="Wingdings">
    <w:charset w:val="01"/>
    <w:family w:val="roman"/>
    <w:pitch w:val="variable"/>
  </w:font>
  <w:font w:name="Liberation Sans">
    <w:altName w:val="Arial"/>
    <w:charset w:val="01"/>
    <w:family w:val="swiss"/>
    <w:pitch w:val="variable"/>
  </w:font>
  <w:font w:name="Liberation Mono">
    <w:altName w:val="Courier New"/>
    <w:charset w:val="01"/>
    <w:family w:val="roman"/>
    <w:pitch w:val="variable"/>
  </w:font>
  <w:font w:name="Times New Roman">
    <w:charset w:val="01"/>
    <w:family w:val="roman"/>
    <w:pitch w:val="variable"/>
  </w:font>
  <w:font w:name="Arial">
    <w:charset w:val="01"/>
    <w:family w:val="roman"/>
    <w:pitch w:val="variable"/>
  </w:font>
  <w:font w:name="serif">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Footer"/>
      <w:jc w:val="center"/>
      <w:rPr/>
    </w:pPr>
    <w:r>
      <w:rPr/>
      <w:fldChar w:fldCharType="begin"/>
    </w:r>
    <w:r>
      <w:instrText> PAGE </w:instrText>
    </w:r>
    <w:r>
      <w:fldChar w:fldCharType="separate"/>
    </w:r>
    <w:r>
      <w:t>25</w:t>
    </w:r>
    <w:r>
      <w:fldChar w:fldCharType="end"/>
    </w:r>
  </w:p>
</w:ftr>
</file>

<file path=word/footnotes.xml><?xml version="1.0" encoding="utf-8"?>
<w:footnotes xmlns:w="http://schemas.openxmlformats.org/wordprocessingml/2006/main" xmlns:r="http://schemas.openxmlformats.org/officeDocument/2006/relationships">
  <w:footnote w:id="0" w:type="separator">
    <w:p>
      <w:r>
        <w:separator/>
      </w:r>
    </w:p>
  </w:footnote>
  <w:footnote w:id="1" w:type="continuationSeparator">
    <w:p>
      <w:r>
        <w:continuationSeparator/>
      </w:r>
    </w:p>
  </w:footnote>
  <w:footnote w:id="2">
    <w:p>
      <w:pPr>
        <w:pStyle w:val="Footnote"/>
        <w:rPr>
          <w:sz w:val="16"/>
          <w:szCs w:val="16"/>
        </w:rPr>
      </w:pPr>
      <w:r>
        <w:rPr>
          <w:sz w:val="16"/>
          <w:szCs w:val="16"/>
          <w:lang w:val="es-ES"/>
        </w:rPr>
        <w:footnoteRef/>
        <w:tab/>
        <w:t xml:space="preserve"> </w:t>
      </w:r>
      <w:r>
        <w:rPr>
          <w:sz w:val="16"/>
          <w:szCs w:val="16"/>
          <w:lang w:val="es-ES"/>
        </w:rPr>
        <w:t xml:space="preserve">ICCAT Secretariat, C/Corazón de María, 8. </w:t>
      </w:r>
      <w:r>
        <w:rPr>
          <w:sz w:val="16"/>
          <w:szCs w:val="16"/>
        </w:rPr>
        <w:t>28002 Madrid, Spain; Laurie.Kell@iccat.int; Phone: +34 914 165 600  Fax: +34 914 152 612.</w:t>
      </w:r>
    </w:p>
  </w:footnote>
  <w:footnote w:id="3">
    <w:p>
      <w:pPr>
        <w:pStyle w:val="Footnote"/>
        <w:rPr>
          <w:rFonts w:ascii="serif" w:hAnsi="serif"/>
          <w:sz w:val="16"/>
          <w:szCs w:val="16"/>
          <w:lang w:val="es-ES"/>
        </w:rPr>
      </w:pPr>
      <w:r>
        <w:rPr>
          <w:rFonts w:ascii="serif" w:hAnsi="serif"/>
          <w:sz w:val="16"/>
          <w:szCs w:val="16"/>
          <w:lang w:val="es-ES"/>
        </w:rPr>
        <w:footnoteRef/>
        <w:tab/>
        <w:t xml:space="preserve"> </w:t>
      </w:r>
      <w:r>
        <w:rPr>
          <w:rFonts w:ascii="serif" w:hAnsi="serif"/>
          <w:sz w:val="16"/>
          <w:szCs w:val="16"/>
          <w:lang w:val="es-ES"/>
        </w:rPr>
        <w:t>AZTI -Tecnalia, Herrera Kaia Portualdea, 20110, Pasaia, Spain; gmerino@azti.es.</w:t>
      </w:r>
    </w:p>
    <w:p>
      <w:pPr>
        <w:pStyle w:val="Footnote"/>
        <w:rPr/>
      </w:pPr>
      <w:r>
        <w:rPr/>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LONormal"/>
      <w:widowControl/>
      <w:tabs>
        <w:tab w:val="right" w:pos="9072" w:leader="none"/>
      </w:tabs>
      <w:spacing w:lineRule="auto" w:line="276"/>
      <w:textAlignment w:val="auto"/>
      <w:rPr>
        <w:rFonts w:eastAsia="Arial" w:cs="Arial" w:ascii="Arial" w:hAnsi="Arial"/>
        <w:color w:val="000000"/>
        <w:sz w:val="20"/>
        <w:szCs w:val="20"/>
        <w:lang w:val="es-ES" w:eastAsia="es-ES" w:bidi="ar-SA"/>
      </w:rPr>
    </w:pPr>
    <w:r>
      <w:rPr>
        <w:rFonts w:eastAsia="Arial" w:cs="Arial" w:ascii="Arial" w:hAnsi="Arial"/>
        <w:color w:val="000000"/>
        <w:sz w:val="20"/>
        <w:szCs w:val="20"/>
        <w:lang w:eastAsia="es-ES" w:bidi="ar-SA"/>
      </w:rPr>
      <w:t>SCRS/2016/027</w:t>
      <w:tab/>
      <w:t xml:space="preserve">Collect. Vol. Sci. Pap. </w:t>
    </w:r>
    <w:r>
      <w:rPr>
        <w:rFonts w:eastAsia="Arial" w:cs="Arial" w:ascii="Arial" w:hAnsi="Arial"/>
        <w:color w:val="000000"/>
        <w:sz w:val="20"/>
        <w:szCs w:val="20"/>
        <w:lang w:val="es-ES" w:eastAsia="es-ES" w:bidi="ar-SA"/>
      </w:rPr>
      <w:t>ICCAT, 73: (2017)</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LONormal"/>
      <w:widowControl/>
      <w:tabs>
        <w:tab w:val="right" w:pos="9072" w:leader="none"/>
      </w:tabs>
      <w:spacing w:lineRule="auto" w:line="276"/>
      <w:textAlignment w:val="auto"/>
      <w:rPr>
        <w:rFonts w:eastAsia="Arial" w:cs="Arial" w:ascii="Arial" w:hAnsi="Arial"/>
        <w:color w:val="000000"/>
        <w:sz w:val="20"/>
        <w:szCs w:val="20"/>
        <w:lang w:val="es-ES" w:eastAsia="es-ES" w:bidi="ar-SA"/>
      </w:rPr>
    </w:pPr>
    <w:r>
      <w:rPr>
        <w:rFonts w:eastAsia="Arial" w:cs="Arial" w:ascii="Arial" w:hAnsi="Arial"/>
        <w:color w:val="000000"/>
        <w:sz w:val="20"/>
        <w:szCs w:val="20"/>
        <w:lang w:eastAsia="es-ES" w:bidi="ar-SA"/>
      </w:rPr>
      <w:t>SCRS/2016/027</w:t>
      <w:tab/>
      <w:t xml:space="preserve">Collect. Vol. Sci. Pap. </w:t>
    </w:r>
    <w:r>
      <w:rPr>
        <w:rFonts w:eastAsia="Arial" w:cs="Arial" w:ascii="Arial" w:hAnsi="Arial"/>
        <w:color w:val="000000"/>
        <w:sz w:val="20"/>
        <w:szCs w:val="20"/>
        <w:lang w:val="es-ES" w:eastAsia="es-ES" w:bidi="ar-SA"/>
      </w:rPr>
      <w:t>ICCAT, 73: (2017)</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LONormal"/>
      <w:widowControl/>
      <w:tabs>
        <w:tab w:val="right" w:pos="9072" w:leader="none"/>
      </w:tabs>
      <w:spacing w:lineRule="auto" w:line="276"/>
      <w:textAlignment w:val="auto"/>
      <w:rPr>
        <w:rFonts w:eastAsia="Arial" w:cs="Arial" w:ascii="Arial" w:hAnsi="Arial"/>
        <w:color w:val="000000"/>
        <w:sz w:val="20"/>
        <w:szCs w:val="20"/>
        <w:lang w:val="es-ES" w:eastAsia="es-ES" w:bidi="ar-SA"/>
      </w:rPr>
    </w:pPr>
    <w:r>
      <w:rPr>
        <w:rFonts w:eastAsia="Arial" w:cs="Arial" w:ascii="Arial" w:hAnsi="Arial"/>
        <w:color w:val="000000"/>
        <w:sz w:val="20"/>
        <w:szCs w:val="20"/>
        <w:lang w:eastAsia="es-ES" w:bidi="ar-SA"/>
      </w:rPr>
      <w:t>SCRS/2015/027</w:t>
      <w:tab/>
      <w:t xml:space="preserve">Collect. Vol. Sci. Pap. </w:t>
    </w:r>
    <w:r>
      <w:rPr>
        <w:rFonts w:eastAsia="Arial" w:cs="Arial" w:ascii="Arial" w:hAnsi="Arial"/>
        <w:color w:val="000000"/>
        <w:sz w:val="20"/>
        <w:szCs w:val="20"/>
        <w:lang w:val="es-ES" w:eastAsia="es-ES" w:bidi="ar-SA"/>
      </w:rPr>
      <w:t>ICCAT, 73: (2016)</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trackRevisions/>
  <w:defaultTabStop w:val="709"/>
  <w:footnotePr>
    <w:numFmt w:val="decimal"/>
    <w:footnote w:id="0"/>
    <w:footnote w:id="1"/>
  </w:footnotePr>
</w:settings>
</file>

<file path=word/styles.xml><?xml version="1.0" encoding="utf-8"?>
<w:styles xmlns:w="http://schemas.openxmlformats.org/wordprocessingml/2006/main">
  <w:docDefaults>
    <w:rPrDefault>
      <w:rPr>
        <w:rFonts w:ascii="Liberation Serif" w:hAnsi="Liberation Serif" w:eastAsia="Droid Sans Fallback" w:cs="FreeSans"/>
        <w:sz w:val="24"/>
        <w:szCs w:val="24"/>
        <w:lang w:val="en-US" w:eastAsia="zh-CN" w:bidi="hi-IN"/>
      </w:rPr>
    </w:rPrDefault>
    <w:pPrDefault>
      <w:pPr>
        <w:textAlignment w:val="baseline"/>
      </w:pPr>
    </w:pPrDefault>
  </w:docDefaults>
  <w:latentStyles w:count="267" w:defQFormat="0" w:defUnhideWhenUsed="1" w:defSemiHidden="1" w:defUIPriority="99" w:defLockedState="0">
    <w:lsdException w:qFormat="1" w:semiHidden="0" w:uiPriority="0" w:unhideWhenUsed="0" w:name="Normal"/>
    <w:lsdException w:qFormat="1" w:semiHidden="0" w:uiPriority="9" w:unhideWhenUsed="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35" w:name="caption"/>
    <w:lsdException w:qFormat="1" w:semiHidden="0" w:uiPriority="10" w:unhideWhenUsed="0" w:name="Title"/>
    <w:lsdException w:uiPriority="1" w:name="Default Paragraph Font"/>
    <w:lsdException w:qFormat="1" w:semiHidden="0" w:uiPriority="11" w:unhideWhenUsed="0" w:name="Subtitle"/>
    <w:lsdException w:qFormat="1" w:semiHidden="0" w:uiPriority="22" w:unhideWhenUsed="0" w:name="Strong"/>
    <w:lsdException w:qFormat="1" w:semiHidden="0" w:uiPriority="20" w:unhideWhenUsed="0" w:name="Emphasis"/>
    <w:lsdException w:semiHidden="0" w:uiPriority="59" w:unhideWhenUsed="0" w:name="Table Grid"/>
    <w:lsdException w:unhideWhenUsed="0" w:name="Placeholder Text"/>
    <w:lsdException w:qFormat="1" w:semiHidden="0" w:uiPriority="1" w:unhideWhenUsed="0" w:name="No Spacing"/>
    <w:lsdException w:semiHidden="0" w:uiPriority="60" w:unhideWhenUsed="0" w:name="Light Shading"/>
    <w:lsdException w:semiHidden="0" w:uiPriority="61" w:unhideWhenUsed="0" w:name="Light List"/>
    <w:lsdException w:semiHidden="0" w:uiPriority="62" w:unhideWhenUsed="0" w:name="Light Grid"/>
    <w:lsdException w:semiHidden="0" w:uiPriority="63" w:unhideWhenUsed="0" w:name="Medium Shading 1"/>
    <w:lsdException w:semiHidden="0" w:uiPriority="64" w:unhideWhenUsed="0" w:name="Medium Shading 2"/>
    <w:lsdException w:semiHidden="0" w:uiPriority="65" w:unhideWhenUsed="0" w:name="Medium List 1"/>
    <w:lsdException w:semiHidden="0" w:uiPriority="66" w:unhideWhenUsed="0" w:name="Medium List 2"/>
    <w:lsdException w:semiHidden="0" w:uiPriority="67" w:unhideWhenUsed="0" w:name="Medium Grid 1"/>
    <w:lsdException w:semiHidden="0" w:uiPriority="68" w:unhideWhenUsed="0" w:name="Medium Grid 2"/>
    <w:lsdException w:semiHidden="0" w:uiPriority="69" w:unhideWhenUsed="0" w:name="Medium Grid 3"/>
    <w:lsdException w:semiHidden="0" w:uiPriority="70" w:unhideWhenUsed="0" w:name="Dark List"/>
    <w:lsdException w:semiHidden="0" w:uiPriority="71" w:unhideWhenUsed="0" w:name="Colorful Shading"/>
    <w:lsdException w:semiHidden="0" w:uiPriority="72" w:unhideWhenUsed="0" w:name="Colorful List"/>
    <w:lsdException w:semiHidden="0" w:uiPriority="73" w:unhideWhenUsed="0" w:name="Colorful Grid"/>
    <w:lsdException w:semiHidden="0" w:uiPriority="60" w:unhideWhenUsed="0" w:name="Light Shading Accent 1"/>
    <w:lsdException w:semiHidden="0" w:uiPriority="61" w:unhideWhenUsed="0" w:name="Light List Accent 1"/>
    <w:lsdException w:semiHidden="0" w:uiPriority="62" w:unhideWhenUsed="0" w:name="Light Grid Accent 1"/>
    <w:lsdException w:semiHidden="0" w:uiPriority="63" w:unhideWhenUsed="0" w:name="Medium Shading 1 Accent 1"/>
    <w:lsdException w:semiHidden="0" w:uiPriority="64" w:unhideWhenUsed="0" w:name="Medium Shading 2 Accent 1"/>
    <w:lsdException w:semiHidden="0" w:uiPriority="65" w:unhideWhenUsed="0" w:name="Medium List 1 Accent 1"/>
    <w:lsdException w:unhideWhenUsed="0" w:name="Revision"/>
    <w:lsdException w:qFormat="1" w:semiHidden="0" w:uiPriority="34" w:unhideWhenUsed="0" w:name="List Paragraph"/>
    <w:lsdException w:qFormat="1" w:semiHidden="0" w:uiPriority="29" w:unhideWhenUsed="0" w:name="Quote"/>
    <w:lsdException w:qFormat="1" w:semiHidden="0" w:uiPriority="30" w:unhideWhenUsed="0" w:name="Intense Quote"/>
    <w:lsdException w:semiHidden="0" w:uiPriority="66" w:unhideWhenUsed="0" w:name="Medium List 2 Accent 1"/>
    <w:lsdException w:semiHidden="0" w:uiPriority="67" w:unhideWhenUsed="0" w:name="Medium Grid 1 Accent 1"/>
    <w:lsdException w:semiHidden="0" w:uiPriority="68" w:unhideWhenUsed="0" w:name="Medium Grid 2 Accent 1"/>
    <w:lsdException w:semiHidden="0" w:uiPriority="69" w:unhideWhenUsed="0" w:name="Medium Grid 3 Accent 1"/>
    <w:lsdException w:semiHidden="0" w:uiPriority="70" w:unhideWhenUsed="0" w:name="Dark List Accent 1"/>
    <w:lsdException w:semiHidden="0" w:uiPriority="71" w:unhideWhenUsed="0" w:name="Colorful Shading Accent 1"/>
    <w:lsdException w:semiHidden="0" w:uiPriority="72" w:unhideWhenUsed="0" w:name="Colorful List Accent 1"/>
    <w:lsdException w:semiHidden="0" w:uiPriority="73" w:unhideWhenUsed="0" w:name="Colorful Grid Accent 1"/>
    <w:lsdException w:semiHidden="0" w:uiPriority="60" w:unhideWhenUsed="0" w:name="Light Shading Accent 2"/>
    <w:lsdException w:semiHidden="0" w:uiPriority="61" w:unhideWhenUsed="0" w:name="Light List Accent 2"/>
    <w:lsdException w:semiHidden="0" w:uiPriority="62" w:unhideWhenUsed="0" w:name="Light Grid Accent 2"/>
    <w:lsdException w:semiHidden="0" w:uiPriority="63" w:unhideWhenUsed="0" w:name="Medium Shading 1 Accent 2"/>
    <w:lsdException w:semiHidden="0" w:uiPriority="64" w:unhideWhenUsed="0" w:name="Medium Shading 2 Accent 2"/>
    <w:lsdException w:semiHidden="0" w:uiPriority="65" w:unhideWhenUsed="0" w:name="Medium List 1 Accent 2"/>
    <w:lsdException w:semiHidden="0" w:uiPriority="66" w:unhideWhenUsed="0" w:name="Medium List 2 Accent 2"/>
    <w:lsdException w:semiHidden="0" w:uiPriority="67" w:unhideWhenUsed="0" w:name="Medium Grid 1 Accent 2"/>
    <w:lsdException w:semiHidden="0" w:uiPriority="68" w:unhideWhenUsed="0" w:name="Medium Grid 2 Accent 2"/>
    <w:lsdException w:semiHidden="0" w:uiPriority="69" w:unhideWhenUsed="0" w:name="Medium Grid 3 Accent 2"/>
    <w:lsdException w:semiHidden="0" w:uiPriority="70" w:unhideWhenUsed="0" w:name="Dark List Accent 2"/>
    <w:lsdException w:semiHidden="0" w:uiPriority="71" w:unhideWhenUsed="0" w:name="Colorful Shading Accent 2"/>
    <w:lsdException w:semiHidden="0" w:uiPriority="72" w:unhideWhenUsed="0" w:name="Colorful List Accent 2"/>
    <w:lsdException w:semiHidden="0" w:uiPriority="73" w:unhideWhenUsed="0" w:name="Colorful Grid Accent 2"/>
    <w:lsdException w:semiHidden="0" w:uiPriority="60" w:unhideWhenUsed="0" w:name="Light Shading Accent 3"/>
    <w:lsdException w:semiHidden="0" w:uiPriority="61" w:unhideWhenUsed="0" w:name="Light List Accent 3"/>
    <w:lsdException w:semiHidden="0" w:uiPriority="62" w:unhideWhenUsed="0" w:name="Light Grid Accent 3"/>
    <w:lsdException w:semiHidden="0" w:uiPriority="63" w:unhideWhenUsed="0" w:name="Medium Shading 1 Accent 3"/>
    <w:lsdException w:semiHidden="0" w:uiPriority="64" w:unhideWhenUsed="0" w:name="Medium Shading 2 Accent 3"/>
    <w:lsdException w:semiHidden="0" w:uiPriority="65" w:unhideWhenUsed="0" w:name="Medium List 1 Accent 3"/>
    <w:lsdException w:semiHidden="0" w:uiPriority="66" w:unhideWhenUsed="0" w:name="Medium List 2 Accent 3"/>
    <w:lsdException w:semiHidden="0" w:uiPriority="67" w:unhideWhenUsed="0" w:name="Medium Grid 1 Accent 3"/>
    <w:lsdException w:semiHidden="0" w:uiPriority="68" w:unhideWhenUsed="0" w:name="Medium Grid 2 Accent 3"/>
    <w:lsdException w:semiHidden="0" w:uiPriority="69" w:unhideWhenUsed="0" w:name="Medium Grid 3 Accent 3"/>
    <w:lsdException w:semiHidden="0" w:uiPriority="70" w:unhideWhenUsed="0" w:name="Dark List Accent 3"/>
    <w:lsdException w:semiHidden="0" w:uiPriority="71" w:unhideWhenUsed="0" w:name="Colorful Shading Accent 3"/>
    <w:lsdException w:semiHidden="0" w:uiPriority="72" w:unhideWhenUsed="0" w:name="Colorful List Accent 3"/>
    <w:lsdException w:semiHidden="0" w:uiPriority="73" w:unhideWhenUsed="0" w:name="Colorful Grid Accent 3"/>
    <w:lsdException w:semiHidden="0" w:uiPriority="60" w:unhideWhenUsed="0" w:name="Light Shading Accent 4"/>
    <w:lsdException w:semiHidden="0" w:uiPriority="61" w:unhideWhenUsed="0" w:name="Light List Accent 4"/>
    <w:lsdException w:semiHidden="0" w:uiPriority="62" w:unhideWhenUsed="0" w:name="Light Grid Accent 4"/>
    <w:lsdException w:semiHidden="0" w:uiPriority="63" w:unhideWhenUsed="0" w:name="Medium Shading 1 Accent 4"/>
    <w:lsdException w:semiHidden="0" w:uiPriority="64" w:unhideWhenUsed="0" w:name="Medium Shading 2 Accent 4"/>
    <w:lsdException w:semiHidden="0" w:uiPriority="65" w:unhideWhenUsed="0" w:name="Medium List 1 Accent 4"/>
    <w:lsdException w:semiHidden="0" w:uiPriority="66" w:unhideWhenUsed="0" w:name="Medium List 2 Accent 4"/>
    <w:lsdException w:semiHidden="0" w:uiPriority="67" w:unhideWhenUsed="0" w:name="Medium Grid 1 Accent 4"/>
    <w:lsdException w:semiHidden="0" w:uiPriority="68" w:unhideWhenUsed="0" w:name="Medium Grid 2 Accent 4"/>
    <w:lsdException w:semiHidden="0" w:uiPriority="69" w:unhideWhenUsed="0" w:name="Medium Grid 3 Accent 4"/>
    <w:lsdException w:semiHidden="0" w:uiPriority="70" w:unhideWhenUsed="0" w:name="Dark List Accent 4"/>
    <w:lsdException w:semiHidden="0" w:uiPriority="71" w:unhideWhenUsed="0" w:name="Colorful Shading Accent 4"/>
    <w:lsdException w:semiHidden="0" w:uiPriority="72" w:unhideWhenUsed="0" w:name="Colorful List Accent 4"/>
    <w:lsdException w:semiHidden="0" w:uiPriority="73" w:unhideWhenUsed="0" w:name="Colorful Grid Accent 4"/>
    <w:lsdException w:semiHidden="0" w:uiPriority="60" w:unhideWhenUsed="0" w:name="Light Shading Accent 5"/>
    <w:lsdException w:semiHidden="0" w:uiPriority="61" w:unhideWhenUsed="0" w:name="Light List Accent 5"/>
    <w:lsdException w:semiHidden="0" w:uiPriority="62" w:unhideWhenUsed="0" w:name="Light Grid Accent 5"/>
    <w:lsdException w:semiHidden="0" w:uiPriority="63" w:unhideWhenUsed="0" w:name="Medium Shading 1 Accent 5"/>
    <w:lsdException w:semiHidden="0" w:uiPriority="64" w:unhideWhenUsed="0" w:name="Medium Shading 2 Accent 5"/>
    <w:lsdException w:semiHidden="0" w:uiPriority="65" w:unhideWhenUsed="0" w:name="Medium List 1 Accent 5"/>
    <w:lsdException w:semiHidden="0" w:uiPriority="66" w:unhideWhenUsed="0" w:name="Medium List 2 Accent 5"/>
    <w:lsdException w:semiHidden="0" w:uiPriority="67" w:unhideWhenUsed="0" w:name="Medium Grid 1 Accent 5"/>
    <w:lsdException w:semiHidden="0" w:uiPriority="68" w:unhideWhenUsed="0" w:name="Medium Grid 2 Accent 5"/>
    <w:lsdException w:semiHidden="0" w:uiPriority="69" w:unhideWhenUsed="0" w:name="Medium Grid 3 Accent 5"/>
    <w:lsdException w:semiHidden="0" w:uiPriority="70" w:unhideWhenUsed="0" w:name="Dark List Accent 5"/>
    <w:lsdException w:semiHidden="0" w:uiPriority="71" w:unhideWhenUsed="0" w:name="Colorful Shading Accent 5"/>
    <w:lsdException w:semiHidden="0" w:uiPriority="72" w:unhideWhenUsed="0" w:name="Colorful List Accent 5"/>
    <w:lsdException w:semiHidden="0" w:uiPriority="73" w:unhideWhenUsed="0" w:name="Colorful Grid Accent 5"/>
    <w:lsdException w:semiHidden="0" w:uiPriority="60" w:unhideWhenUsed="0" w:name="Light Shading Accent 6"/>
    <w:lsdException w:semiHidden="0" w:uiPriority="61" w:unhideWhenUsed="0" w:name="Light List Accent 6"/>
    <w:lsdException w:semiHidden="0" w:uiPriority="62" w:unhideWhenUsed="0" w:name="Light Grid Accent 6"/>
    <w:lsdException w:semiHidden="0" w:uiPriority="63" w:unhideWhenUsed="0" w:name="Medium Shading 1 Accent 6"/>
    <w:lsdException w:semiHidden="0" w:uiPriority="64" w:unhideWhenUsed="0" w:name="Medium Shading 2 Accent 6"/>
    <w:lsdException w:semiHidden="0" w:uiPriority="65" w:unhideWhenUsed="0" w:name="Medium List 1 Accent 6"/>
    <w:lsdException w:semiHidden="0" w:uiPriority="66" w:unhideWhenUsed="0" w:name="Medium List 2 Accent 6"/>
    <w:lsdException w:semiHidden="0" w:uiPriority="67" w:unhideWhenUsed="0" w:name="Medium Grid 1 Accent 6"/>
    <w:lsdException w:semiHidden="0" w:uiPriority="68" w:unhideWhenUsed="0" w:name="Medium Grid 2 Accent 6"/>
    <w:lsdException w:semiHidden="0" w:uiPriority="69" w:unhideWhenUsed="0" w:name="Medium Grid 3 Accent 6"/>
    <w:lsdException w:semiHidden="0" w:uiPriority="70" w:unhideWhenUsed="0" w:name="Dark List Accent 6"/>
    <w:lsdException w:semiHidden="0" w:uiPriority="71" w:unhideWhenUsed="0" w:name="Colorful Shading Accent 6"/>
    <w:lsdException w:semiHidden="0" w:uiPriority="72" w:unhideWhenUsed="0" w:name="Colorful List Accent 6"/>
    <w:lsdException w:semiHidden="0" w:uiPriority="73" w:unhideWhenUsed="0" w:name="Colorful Grid Accent 6"/>
    <w:lsdException w:qFormat="1" w:semiHidden="0" w:uiPriority="19" w:unhideWhenUsed="0" w:name="Subtle Emphasis"/>
    <w:lsdException w:qFormat="1" w:semiHidden="0" w:uiPriority="21" w:unhideWhenUsed="0" w:name="Intense Emphasis"/>
    <w:lsdException w:qFormat="1" w:semiHidden="0" w:uiPriority="31" w:unhideWhenUsed="0" w:name="Subtle Reference"/>
    <w:lsdException w:qFormat="1" w:semiHidden="0" w:uiPriority="32" w:unhideWhenUsed="0" w:name="Intense Reference"/>
    <w:lsdException w:qFormat="1" w:semiHidden="0" w:uiPriority="33" w:unhideWhenUsed="0" w:name="Book Title"/>
    <w:lsdException w:uiPriority="37" w:name="Bibliography"/>
    <w:lsdException w:qFormat="1" w:uiPriority="39" w:name="TOC Heading"/>
  </w:latentStyles>
  <w:style w:type="paragraph" w:styleId="Normal" w:default="1">
    <w:name w:val="Normal"/>
    <w:pPr>
      <w:widowControl w:val="false"/>
      <w:suppressAutoHyphens w:val="true"/>
      <w:bidi w:val="0"/>
      <w:jc w:val="left"/>
      <w:textAlignment w:val="baseline"/>
    </w:pPr>
    <w:rPr>
      <w:rFonts w:ascii="Liberation Serif" w:hAnsi="Liberation Serif" w:eastAsia="Droid Sans Fallback" w:cs="FreeSans"/>
      <w:color w:val="00000A"/>
      <w:sz w:val="24"/>
      <w:szCs w:val="24"/>
      <w:lang w:val="en-US" w:eastAsia="zh-CN" w:bidi="hi-IN"/>
    </w:rPr>
  </w:style>
  <w:style w:type="paragraph" w:styleId="Heading1">
    <w:name w:val="Heading 1"/>
    <w:basedOn w:val="Heading"/>
    <w:pPr>
      <w:outlineLvl w:val="0"/>
    </w:pPr>
    <w:rPr>
      <w:b/>
      <w:bCs/>
    </w:rPr>
  </w:style>
  <w:style w:type="paragraph" w:styleId="Heading2">
    <w:name w:val="Heading 2"/>
    <w:basedOn w:val="Heading"/>
    <w:pPr>
      <w:spacing w:before="200" w:after="0"/>
      <w:outlineLvl w:val="1"/>
    </w:pPr>
    <w:rPr>
      <w:b/>
      <w:bCs/>
    </w:rPr>
  </w:style>
  <w:style w:type="paragraph" w:styleId="Heading3">
    <w:name w:val="Heading 3"/>
    <w:basedOn w:val="Heading"/>
    <w:pPr>
      <w:spacing w:before="140" w:after="0"/>
      <w:outlineLvl w:val="2"/>
    </w:pPr>
    <w:rPr>
      <w:b/>
      <w:bCs/>
      <w:color w:val="808080"/>
    </w:rPr>
  </w:style>
  <w:style w:type="character" w:styleId="DefaultParagraphFont" w:default="1">
    <w:name w:val="Default Paragraph Font"/>
    <w:uiPriority w:val="1"/>
    <w:semiHidden/>
    <w:unhideWhenUsed/>
    <w:rPr/>
  </w:style>
  <w:style w:type="character" w:styleId="InternetLink" w:customStyle="1">
    <w:name w:val="Internet Link"/>
    <w:rPr>
      <w:color w:val="000080"/>
      <w:u w:val="single"/>
      <w:lang w:val="zxx" w:eastAsia="zxx" w:bidi="zxx"/>
    </w:rPr>
  </w:style>
  <w:style w:type="character" w:styleId="Bullets" w:customStyle="1">
    <w:name w:val="Bullets"/>
    <w:rPr>
      <w:rFonts w:ascii="OpenSymbol" w:hAnsi="OpenSymbol" w:eastAsia="OpenSymbol" w:cs="OpenSymbol"/>
    </w:rPr>
  </w:style>
  <w:style w:type="character" w:styleId="FootnoteCharacters" w:customStyle="1">
    <w:name w:val="Footnote Characters"/>
    <w:rPr>
      <w:sz w:val="16"/>
    </w:rPr>
  </w:style>
  <w:style w:type="character" w:styleId="FootnoteAnchor" w:customStyle="1">
    <w:name w:val="Footnote Anchor"/>
    <w:basedOn w:val="DefaultParagraphFont"/>
    <w:rPr>
      <w:sz w:val="16"/>
      <w:vertAlign w:val="superscript"/>
    </w:rPr>
  </w:style>
  <w:style w:type="character" w:styleId="BodyTextChar" w:customStyle="1">
    <w:name w:val="Body Text Char"/>
    <w:basedOn w:val="DefaultParagraphFont"/>
    <w:rPr/>
  </w:style>
  <w:style w:type="character" w:styleId="VerbatimChar" w:customStyle="1">
    <w:name w:val="Verbatim Char"/>
    <w:basedOn w:val="BodyTextChar"/>
    <w:rPr>
      <w:rFonts w:ascii="Consolas" w:hAnsi="Consolas" w:eastAsia="Consolas" w:cs="Consolas"/>
      <w:sz w:val="22"/>
    </w:rPr>
  </w:style>
  <w:style w:type="character" w:styleId="HeaderChar" w:customStyle="1">
    <w:name w:val="Header Char"/>
    <w:basedOn w:val="DefaultParagraphFont"/>
    <w:rPr>
      <w:rFonts w:cs="Mangal"/>
      <w:szCs w:val="21"/>
    </w:rPr>
  </w:style>
  <w:style w:type="character" w:styleId="FooterChar" w:customStyle="1">
    <w:name w:val="Footer Char"/>
    <w:basedOn w:val="DefaultParagraphFont"/>
    <w:rPr>
      <w:rFonts w:cs="Mangal"/>
      <w:szCs w:val="21"/>
    </w:rPr>
  </w:style>
  <w:style w:type="character" w:styleId="BalloonTextChar" w:customStyle="1">
    <w:name w:val="Balloon Text Char"/>
    <w:basedOn w:val="DefaultParagraphFont"/>
    <w:rPr>
      <w:rFonts w:ascii="Segoe UI" w:hAnsi="Segoe UI" w:cs="Mangal"/>
      <w:sz w:val="18"/>
      <w:szCs w:val="16"/>
    </w:rPr>
  </w:style>
  <w:style w:type="character" w:styleId="WWCharLFO1LVL1" w:customStyle="1">
    <w:name w:val="WW_CharLFO1LVL1"/>
    <w:rPr>
      <w:rFonts w:ascii="OpenSymbol" w:hAnsi="OpenSymbol" w:eastAsia="OpenSymbol" w:cs="OpenSymbol"/>
    </w:rPr>
  </w:style>
  <w:style w:type="character" w:styleId="WWCharLFO1LVL2" w:customStyle="1">
    <w:name w:val="WW_CharLFO1LVL2"/>
    <w:rPr>
      <w:rFonts w:ascii="OpenSymbol" w:hAnsi="OpenSymbol" w:eastAsia="OpenSymbol" w:cs="OpenSymbol"/>
    </w:rPr>
  </w:style>
  <w:style w:type="character" w:styleId="WWCharLFO1LVL3" w:customStyle="1">
    <w:name w:val="WW_CharLFO1LVL3"/>
    <w:rPr>
      <w:rFonts w:ascii="OpenSymbol" w:hAnsi="OpenSymbol" w:eastAsia="OpenSymbol" w:cs="OpenSymbol"/>
    </w:rPr>
  </w:style>
  <w:style w:type="character" w:styleId="WWCharLFO1LVL4" w:customStyle="1">
    <w:name w:val="WW_CharLFO1LVL4"/>
    <w:rPr>
      <w:rFonts w:ascii="OpenSymbol" w:hAnsi="OpenSymbol" w:eastAsia="OpenSymbol" w:cs="OpenSymbol"/>
    </w:rPr>
  </w:style>
  <w:style w:type="character" w:styleId="WWCharLFO1LVL5" w:customStyle="1">
    <w:name w:val="WW_CharLFO1LVL5"/>
    <w:rPr>
      <w:rFonts w:ascii="OpenSymbol" w:hAnsi="OpenSymbol" w:eastAsia="OpenSymbol" w:cs="OpenSymbol"/>
    </w:rPr>
  </w:style>
  <w:style w:type="character" w:styleId="WWCharLFO1LVL6" w:customStyle="1">
    <w:name w:val="WW_CharLFO1LVL6"/>
    <w:rPr>
      <w:rFonts w:ascii="OpenSymbol" w:hAnsi="OpenSymbol" w:eastAsia="OpenSymbol" w:cs="OpenSymbol"/>
    </w:rPr>
  </w:style>
  <w:style w:type="character" w:styleId="WWCharLFO1LVL7" w:customStyle="1">
    <w:name w:val="WW_CharLFO1LVL7"/>
    <w:rPr>
      <w:rFonts w:ascii="OpenSymbol" w:hAnsi="OpenSymbol" w:eastAsia="OpenSymbol" w:cs="OpenSymbol"/>
    </w:rPr>
  </w:style>
  <w:style w:type="character" w:styleId="WWCharLFO1LVL8" w:customStyle="1">
    <w:name w:val="WW_CharLFO1LVL8"/>
    <w:rPr>
      <w:rFonts w:ascii="OpenSymbol" w:hAnsi="OpenSymbol" w:eastAsia="OpenSymbol" w:cs="OpenSymbol"/>
    </w:rPr>
  </w:style>
  <w:style w:type="character" w:styleId="WWCharLFO1LVL9" w:customStyle="1">
    <w:name w:val="WW_CharLFO1LVL9"/>
    <w:rPr>
      <w:rFonts w:ascii="OpenSymbol" w:hAnsi="OpenSymbol" w:eastAsia="OpenSymbol" w:cs="OpenSymbol"/>
    </w:rPr>
  </w:style>
  <w:style w:type="character" w:styleId="WWCharLFO3LVL1" w:customStyle="1">
    <w:name w:val="WW_CharLFO3LVL1"/>
    <w:rPr>
      <w:rFonts w:ascii="Symbol" w:hAnsi="Symbol"/>
    </w:rPr>
  </w:style>
  <w:style w:type="character" w:styleId="WWCharLFO3LVL2" w:customStyle="1">
    <w:name w:val="WW_CharLFO3LVL2"/>
    <w:rPr>
      <w:rFonts w:ascii="Courier New" w:hAnsi="Courier New" w:cs="Courier New"/>
    </w:rPr>
  </w:style>
  <w:style w:type="character" w:styleId="WWCharLFO3LVL3" w:customStyle="1">
    <w:name w:val="WW_CharLFO3LVL3"/>
    <w:rPr>
      <w:rFonts w:ascii="Wingdings" w:hAnsi="Wingdings"/>
    </w:rPr>
  </w:style>
  <w:style w:type="character" w:styleId="WWCharLFO3LVL4" w:customStyle="1">
    <w:name w:val="WW_CharLFO3LVL4"/>
    <w:rPr>
      <w:rFonts w:ascii="Symbol" w:hAnsi="Symbol"/>
    </w:rPr>
  </w:style>
  <w:style w:type="character" w:styleId="WWCharLFO3LVL5" w:customStyle="1">
    <w:name w:val="WW_CharLFO3LVL5"/>
    <w:rPr>
      <w:rFonts w:ascii="Courier New" w:hAnsi="Courier New" w:cs="Courier New"/>
    </w:rPr>
  </w:style>
  <w:style w:type="character" w:styleId="WWCharLFO3LVL6" w:customStyle="1">
    <w:name w:val="WW_CharLFO3LVL6"/>
    <w:rPr>
      <w:rFonts w:ascii="Wingdings" w:hAnsi="Wingdings"/>
    </w:rPr>
  </w:style>
  <w:style w:type="character" w:styleId="WWCharLFO3LVL7" w:customStyle="1">
    <w:name w:val="WW_CharLFO3LVL7"/>
    <w:rPr>
      <w:rFonts w:ascii="Symbol" w:hAnsi="Symbol"/>
    </w:rPr>
  </w:style>
  <w:style w:type="character" w:styleId="WWCharLFO3LVL8" w:customStyle="1">
    <w:name w:val="WW_CharLFO3LVL8"/>
    <w:rPr>
      <w:rFonts w:ascii="Courier New" w:hAnsi="Courier New" w:cs="Courier New"/>
    </w:rPr>
  </w:style>
  <w:style w:type="character" w:styleId="WWCharLFO3LVL9" w:customStyle="1">
    <w:name w:val="WW_CharLFO3LVL9"/>
    <w:rPr>
      <w:rFonts w:ascii="Wingdings" w:hAnsi="Wingdings"/>
    </w:rPr>
  </w:style>
  <w:style w:type="character" w:styleId="EndnoteAnchor" w:customStyle="1">
    <w:name w:val="Endnote Anchor"/>
    <w:rPr>
      <w:vertAlign w:val="superscript"/>
    </w:rPr>
  </w:style>
  <w:style w:type="character" w:styleId="ListLabel1" w:customStyle="1">
    <w:name w:val="ListLabel 1"/>
    <w:rPr>
      <w:rFonts w:cs="Symbol"/>
    </w:rPr>
  </w:style>
  <w:style w:type="character" w:styleId="ListLabel2" w:customStyle="1">
    <w:name w:val="ListLabel 2"/>
    <w:rPr>
      <w:rFonts w:cs="Courier New"/>
    </w:rPr>
  </w:style>
  <w:style w:type="character" w:styleId="ListLabel3" w:customStyle="1">
    <w:name w:val="ListLabel 3"/>
    <w:rPr>
      <w:rFonts w:cs="Wingdings"/>
    </w:rPr>
  </w:style>
  <w:style w:type="character" w:styleId="EndnoteCharacters" w:customStyle="1">
    <w:name w:val="Endnote Characters"/>
    <w:rPr/>
  </w:style>
  <w:style w:type="character" w:styleId="Annotationreference">
    <w:name w:val="annotation reference"/>
    <w:uiPriority w:val="99"/>
    <w:semiHidden/>
    <w:unhideWhenUsed/>
    <w:rsid w:val="00630cec"/>
    <w:basedOn w:val="DefaultParagraphFont"/>
    <w:rPr>
      <w:sz w:val="16"/>
      <w:szCs w:val="16"/>
    </w:rPr>
  </w:style>
  <w:style w:type="character" w:styleId="TextocomentarioCar" w:customStyle="1">
    <w:name w:val="Texto comentario Car"/>
    <w:uiPriority w:val="99"/>
    <w:semiHidden/>
    <w:link w:val="Textocomentario"/>
    <w:rsid w:val="00630cec"/>
    <w:basedOn w:val="DefaultParagraphFont"/>
    <w:rPr>
      <w:rFonts w:cs="Mangal"/>
      <w:color w:val="00000A"/>
      <w:sz w:val="20"/>
      <w:szCs w:val="18"/>
    </w:rPr>
  </w:style>
  <w:style w:type="character" w:styleId="AsuntodelcomentarioCar" w:customStyle="1">
    <w:name w:val="Asunto del comentario Car"/>
    <w:uiPriority w:val="99"/>
    <w:semiHidden/>
    <w:link w:val="Asuntodelcomentario"/>
    <w:rsid w:val="00630cec"/>
    <w:basedOn w:val="TextocomentarioCar"/>
    <w:rPr>
      <w:rFonts w:cs="Mangal"/>
      <w:b/>
      <w:bCs/>
      <w:color w:val="00000A"/>
      <w:sz w:val="20"/>
      <w:szCs w:val="18"/>
    </w:rPr>
  </w:style>
  <w:style w:type="paragraph" w:styleId="Heading" w:customStyle="1">
    <w:name w:val="Heading"/>
    <w:basedOn w:val="Normal"/>
    <w:next w:val="TextBody"/>
    <w:pPr>
      <w:keepNext/>
      <w:suppressAutoHyphens w:val="true"/>
      <w:spacing w:before="240" w:after="120"/>
    </w:pPr>
    <w:rPr>
      <w:rFonts w:ascii="Liberation Sans" w:hAnsi="Liberation Sans" w:eastAsia="Droid Sans Fallback" w:cs="FreeSans"/>
      <w:sz w:val="28"/>
      <w:szCs w:val="28"/>
    </w:rPr>
  </w:style>
  <w:style w:type="paragraph" w:styleId="TextBody" w:customStyle="1">
    <w:name w:val="Text Body"/>
    <w:basedOn w:val="Normal"/>
    <w:pPr>
      <w:suppressAutoHyphens w:val="true"/>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customStyle="1">
    <w:name w:val="Index"/>
    <w:basedOn w:val="Normal"/>
    <w:pPr>
      <w:suppressLineNumbers/>
      <w:suppressAutoHyphens w:val="true"/>
    </w:pPr>
    <w:rPr>
      <w:rFonts w:cs="FreeSans"/>
    </w:rPr>
  </w:style>
  <w:style w:type="paragraph" w:styleId="Caption1">
    <w:name w:val="caption"/>
    <w:basedOn w:val="Normal"/>
    <w:pPr>
      <w:suppressLineNumbers/>
      <w:suppressAutoHyphens w:val="true"/>
      <w:spacing w:before="120" w:after="120"/>
    </w:pPr>
    <w:rPr>
      <w:i/>
      <w:iCs/>
    </w:rPr>
  </w:style>
  <w:style w:type="paragraph" w:styleId="LONormal" w:customStyle="1">
    <w:name w:val="LO-Normal"/>
    <w:pPr>
      <w:widowControl w:val="false"/>
      <w:pBdr>
        <w:top w:val="nil"/>
        <w:left w:val="nil"/>
        <w:bottom w:val="nil"/>
        <w:right w:val="nil"/>
      </w:pBdr>
      <w:suppressAutoHyphens w:val="true"/>
      <w:textAlignment w:val="baseline"/>
    </w:pPr>
    <w:rPr>
      <w:rFonts w:ascii="Liberation Serif" w:hAnsi="Liberation Serif" w:eastAsia="Droid Sans Fallback" w:cs="FreeSans"/>
      <w:color w:val="00000A"/>
      <w:sz w:val="24"/>
      <w:szCs w:val="24"/>
      <w:shd w:fill="FFFFFF" w:val="clear"/>
      <w:lang w:val="en-US" w:eastAsia="zh-CN" w:bidi="hi-IN"/>
    </w:rPr>
  </w:style>
  <w:style w:type="paragraph" w:styleId="PreformattedText" w:customStyle="1">
    <w:name w:val="Preformatted Text"/>
    <w:basedOn w:val="Normal"/>
    <w:pPr>
      <w:suppressAutoHyphens w:val="true"/>
    </w:pPr>
    <w:rPr>
      <w:rFonts w:ascii="Liberation Mono" w:hAnsi="Liberation Mono" w:cs="Liberation Mono"/>
      <w:sz w:val="20"/>
      <w:szCs w:val="20"/>
    </w:rPr>
  </w:style>
  <w:style w:type="paragraph" w:styleId="Quotations" w:customStyle="1">
    <w:name w:val="Quotations"/>
    <w:basedOn w:val="Normal"/>
    <w:pPr>
      <w:suppressAutoHyphens w:val="true"/>
      <w:spacing w:before="0" w:after="283"/>
      <w:ind w:left="567" w:right="567" w:hanging="0"/>
    </w:pPr>
    <w:rPr/>
  </w:style>
  <w:style w:type="paragraph" w:styleId="Title">
    <w:name w:val="Title"/>
    <w:basedOn w:val="Heading"/>
    <w:pPr>
      <w:jc w:val="center"/>
    </w:pPr>
    <w:rPr>
      <w:b/>
      <w:bCs/>
      <w:sz w:val="56"/>
      <w:szCs w:val="56"/>
    </w:rPr>
  </w:style>
  <w:style w:type="paragraph" w:styleId="Subtitle">
    <w:name w:val="Subtitle"/>
    <w:basedOn w:val="Heading"/>
    <w:pPr>
      <w:spacing w:before="60" w:after="0"/>
      <w:jc w:val="center"/>
    </w:pPr>
    <w:rPr>
      <w:sz w:val="36"/>
      <w:szCs w:val="36"/>
    </w:rPr>
  </w:style>
  <w:style w:type="paragraph" w:styleId="Footnote" w:customStyle="1">
    <w:name w:val="Footnote"/>
    <w:basedOn w:val="Normal"/>
    <w:pPr>
      <w:suppressLineNumbers/>
      <w:suppressAutoHyphens w:val="true"/>
      <w:ind w:left="339" w:right="0" w:hanging="339"/>
    </w:pPr>
    <w:rPr>
      <w:sz w:val="20"/>
      <w:szCs w:val="20"/>
    </w:rPr>
  </w:style>
  <w:style w:type="paragraph" w:styleId="NormalWeb">
    <w:name w:val="Normal (Web)"/>
    <w:basedOn w:val="Normal"/>
    <w:pPr>
      <w:suppressAutoHyphens w:val="true"/>
      <w:spacing w:before="280" w:after="280"/>
    </w:pPr>
    <w:rPr/>
  </w:style>
  <w:style w:type="paragraph" w:styleId="SourceCode" w:customStyle="1">
    <w:name w:val="Source Code"/>
    <w:basedOn w:val="Normal"/>
    <w:pPr>
      <w:shd w:fill="F8F8F8" w:val="clear"/>
      <w:suppressAutoHyphens w:val="true"/>
    </w:pPr>
    <w:rPr/>
  </w:style>
  <w:style w:type="paragraph" w:styleId="Header">
    <w:name w:val="Header"/>
    <w:basedOn w:val="LONormal"/>
    <w:pPr>
      <w:tabs>
        <w:tab w:val="center" w:pos="4252" w:leader="none"/>
        <w:tab w:val="right" w:pos="8504" w:leader="none"/>
      </w:tabs>
      <w:suppressAutoHyphens w:val="true"/>
    </w:pPr>
    <w:rPr>
      <w:rFonts w:cs="Mangal"/>
      <w:szCs w:val="21"/>
    </w:rPr>
  </w:style>
  <w:style w:type="paragraph" w:styleId="Footer">
    <w:name w:val="Footer"/>
    <w:basedOn w:val="LONormal"/>
    <w:pPr>
      <w:tabs>
        <w:tab w:val="center" w:pos="4252" w:leader="none"/>
        <w:tab w:val="right" w:pos="8504" w:leader="none"/>
      </w:tabs>
      <w:suppressAutoHyphens w:val="true"/>
    </w:pPr>
    <w:rPr>
      <w:rFonts w:cs="Mangal"/>
      <w:szCs w:val="21"/>
    </w:rPr>
  </w:style>
  <w:style w:type="paragraph" w:styleId="BalloonText">
    <w:name w:val="Balloon Text"/>
    <w:basedOn w:val="LONormal"/>
    <w:pPr>
      <w:suppressAutoHyphens w:val="true"/>
    </w:pPr>
    <w:rPr>
      <w:rFonts w:ascii="Segoe UI" w:hAnsi="Segoe UI" w:cs="Mangal"/>
      <w:sz w:val="18"/>
      <w:szCs w:val="16"/>
    </w:rPr>
  </w:style>
  <w:style w:type="paragraph" w:styleId="Annotationtext">
    <w:name w:val="annotation text"/>
    <w:uiPriority w:val="99"/>
    <w:semiHidden/>
    <w:unhideWhenUsed/>
    <w:link w:val="TextocomentarioCar"/>
    <w:rsid w:val="00630cec"/>
    <w:basedOn w:val="Normal"/>
    <w:pPr/>
    <w:rPr>
      <w:rFonts w:cs="Mangal"/>
      <w:sz w:val="20"/>
      <w:szCs w:val="18"/>
    </w:rPr>
  </w:style>
  <w:style w:type="paragraph" w:styleId="Annotationsubject">
    <w:name w:val="annotation subject"/>
    <w:uiPriority w:val="99"/>
    <w:semiHidden/>
    <w:unhideWhenUsed/>
    <w:link w:val="AsuntodelcomentarioCar"/>
    <w:rsid w:val="00630cec"/>
    <w:basedOn w:val="Annotationtext"/>
    <w:pPr/>
    <w:rPr>
      <w:b/>
      <w:bCs/>
    </w:rPr>
  </w:style>
  <w:style w:type="numbering" w:styleId="NoList" w:default="1">
    <w:name w:val="No List"/>
    <w:uiPriority w:val="99"/>
    <w:semiHidden/>
    <w:unhideWhenUsed/>
  </w:style>
  <w:style w:type="table" w:default="1" w:styleId="Tabla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header" Target="header3.xml"/><Relationship Id="rId26" Type="http://schemas.openxmlformats.org/officeDocument/2006/relationships/footer" Target="footer1.xml"/><Relationship Id="rId27" Type="http://schemas.openxmlformats.org/officeDocument/2006/relationships/footnotes" Target="footnotes.xml"/><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Relationship Id="rId31"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2016-04-21T14:02:00Z</dcterms:created>
  <dc:creator>Rebecca Campoy</dc:creator>
  <dc:language>en-US</dc:language>
  <cp:lastModifiedBy>Haritz Arrizabalaga</cp:lastModifiedBy>
  <cp:lastPrinted>2016-01-29T13:50:00Z</cp:lastPrinted>
  <dcterms:modified xsi:type="dcterms:W3CDTF">2016-04-21T14:02:00Z</dcterms:modified>
  <cp:revision>2</cp:revision>
</cp:coreProperties>
</file>