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E45A5" w14:textId="77777777" w:rsidR="002278EA" w:rsidRPr="00D52A3B" w:rsidRDefault="002278EA" w:rsidP="003F7F18">
      <w:pPr>
        <w:jc w:val="right"/>
        <w:rPr>
          <w:b/>
          <w:szCs w:val="20"/>
          <w:lang w:eastAsia="en-GB"/>
        </w:rPr>
      </w:pPr>
    </w:p>
    <w:p w14:paraId="38435020" w14:textId="28C52D53" w:rsidR="00D52A3B" w:rsidRDefault="00D52A3B" w:rsidP="00D52A3B">
      <w:pPr>
        <w:pBdr>
          <w:top w:val="double" w:sz="4" w:space="1" w:color="auto"/>
          <w:left w:val="double" w:sz="4" w:space="4" w:color="auto"/>
          <w:bottom w:val="double" w:sz="4" w:space="1" w:color="auto"/>
          <w:right w:val="double" w:sz="4" w:space="4" w:color="auto"/>
        </w:pBdr>
        <w:tabs>
          <w:tab w:val="left" w:pos="7938"/>
        </w:tabs>
        <w:jc w:val="center"/>
        <w:outlineLvl w:val="0"/>
        <w:rPr>
          <w:b/>
          <w:szCs w:val="20"/>
        </w:rPr>
      </w:pPr>
      <w:r>
        <w:rPr>
          <w:b/>
          <w:szCs w:val="20"/>
        </w:rPr>
        <w:t>15-</w:t>
      </w:r>
      <w:r w:rsidR="00822ED7">
        <w:rPr>
          <w:b/>
          <w:szCs w:val="20"/>
        </w:rPr>
        <w:t>04</w:t>
      </w:r>
      <w:r>
        <w:rPr>
          <w:b/>
          <w:szCs w:val="20"/>
        </w:rPr>
        <w:tab/>
      </w:r>
      <w:r>
        <w:rPr>
          <w:b/>
          <w:szCs w:val="20"/>
        </w:rPr>
        <w:tab/>
      </w:r>
      <w:r w:rsidR="00822ED7">
        <w:rPr>
          <w:b/>
          <w:szCs w:val="20"/>
        </w:rPr>
        <w:t>ALB</w:t>
      </w:r>
    </w:p>
    <w:p w14:paraId="5492AA07" w14:textId="77777777" w:rsidR="00D52A3B" w:rsidRDefault="002278EA" w:rsidP="00D52A3B">
      <w:pPr>
        <w:pBdr>
          <w:top w:val="double" w:sz="4" w:space="1" w:color="auto"/>
          <w:left w:val="double" w:sz="4" w:space="4" w:color="auto"/>
          <w:bottom w:val="double" w:sz="4" w:space="1" w:color="auto"/>
          <w:right w:val="double" w:sz="4" w:space="4" w:color="auto"/>
        </w:pBdr>
        <w:tabs>
          <w:tab w:val="left" w:pos="7938"/>
        </w:tabs>
        <w:jc w:val="center"/>
        <w:outlineLvl w:val="0"/>
        <w:rPr>
          <w:b/>
          <w:szCs w:val="20"/>
        </w:rPr>
      </w:pPr>
      <w:r w:rsidRPr="00D52A3B">
        <w:rPr>
          <w:b/>
          <w:szCs w:val="20"/>
        </w:rPr>
        <w:t xml:space="preserve">RECOMMENDATION BY ICCAT TO ESTABLISH HARVEST </w:t>
      </w:r>
    </w:p>
    <w:p w14:paraId="30138ADE" w14:textId="06990AE3" w:rsidR="002278EA" w:rsidRPr="00D52A3B" w:rsidRDefault="002278EA" w:rsidP="00D52A3B">
      <w:pPr>
        <w:pBdr>
          <w:top w:val="double" w:sz="4" w:space="1" w:color="auto"/>
          <w:left w:val="double" w:sz="4" w:space="4" w:color="auto"/>
          <w:bottom w:val="double" w:sz="4" w:space="1" w:color="auto"/>
          <w:right w:val="double" w:sz="4" w:space="4" w:color="auto"/>
        </w:pBdr>
        <w:tabs>
          <w:tab w:val="left" w:pos="7938"/>
        </w:tabs>
        <w:jc w:val="center"/>
        <w:outlineLvl w:val="0"/>
        <w:rPr>
          <w:b/>
          <w:szCs w:val="20"/>
        </w:rPr>
      </w:pPr>
      <w:r w:rsidRPr="00D52A3B">
        <w:rPr>
          <w:b/>
          <w:szCs w:val="20"/>
        </w:rPr>
        <w:t xml:space="preserve">CONTROL RULES FOR THE NORTH ATLANTIC ALBACORE STOCK </w:t>
      </w:r>
    </w:p>
    <w:p w14:paraId="78C3437B" w14:textId="77777777" w:rsidR="002278EA" w:rsidRPr="00D52A3B" w:rsidRDefault="002278EA" w:rsidP="002278EA">
      <w:pPr>
        <w:tabs>
          <w:tab w:val="left" w:pos="8505"/>
        </w:tabs>
        <w:jc w:val="center"/>
        <w:rPr>
          <w:szCs w:val="20"/>
        </w:rPr>
      </w:pPr>
    </w:p>
    <w:p w14:paraId="170203CC" w14:textId="77777777" w:rsidR="002278EA" w:rsidRDefault="002278EA" w:rsidP="002278EA">
      <w:pPr>
        <w:jc w:val="center"/>
        <w:outlineLvl w:val="0"/>
        <w:rPr>
          <w:b/>
          <w:szCs w:val="20"/>
        </w:rPr>
      </w:pPr>
    </w:p>
    <w:p w14:paraId="7AA5C06A" w14:textId="77777777" w:rsidR="00CA6585" w:rsidRPr="00D52A3B" w:rsidRDefault="00CA6585" w:rsidP="002278EA">
      <w:pPr>
        <w:jc w:val="center"/>
        <w:outlineLvl w:val="0"/>
        <w:rPr>
          <w:b/>
          <w:szCs w:val="20"/>
        </w:rPr>
      </w:pPr>
    </w:p>
    <w:p w14:paraId="43586DF8" w14:textId="77777777" w:rsidR="002278EA" w:rsidRPr="00D52A3B" w:rsidRDefault="002278EA" w:rsidP="002278EA">
      <w:pPr>
        <w:tabs>
          <w:tab w:val="left" w:pos="426"/>
        </w:tabs>
        <w:autoSpaceDE w:val="0"/>
        <w:autoSpaceDN w:val="0"/>
        <w:adjustRightInd w:val="0"/>
        <w:jc w:val="both"/>
        <w:rPr>
          <w:color w:val="000000"/>
          <w:szCs w:val="20"/>
        </w:rPr>
      </w:pPr>
      <w:r w:rsidRPr="00D52A3B">
        <w:rPr>
          <w:i/>
          <w:szCs w:val="20"/>
        </w:rPr>
        <w:tab/>
      </w:r>
      <w:r w:rsidRPr="00D52A3B">
        <w:rPr>
          <w:i/>
          <w:color w:val="000000"/>
          <w:szCs w:val="20"/>
        </w:rPr>
        <w:t xml:space="preserve">RECALLING </w:t>
      </w:r>
      <w:r w:rsidRPr="00D52A3B">
        <w:rPr>
          <w:color w:val="000000"/>
          <w:szCs w:val="20"/>
        </w:rPr>
        <w:t xml:space="preserve">the </w:t>
      </w:r>
      <w:r w:rsidRPr="00D52A3B">
        <w:rPr>
          <w:i/>
          <w:color w:val="000000"/>
          <w:szCs w:val="20"/>
        </w:rPr>
        <w:t>Supplemental Recommendation by ICCAT concerning the North Atlantic Albacore Rebuilding Program</w:t>
      </w:r>
      <w:r w:rsidRPr="00D52A3B">
        <w:rPr>
          <w:color w:val="000000"/>
          <w:szCs w:val="20"/>
        </w:rPr>
        <w:t xml:space="preserve"> [Rec.13-05];</w:t>
      </w:r>
    </w:p>
    <w:p w14:paraId="327F9A29" w14:textId="77777777" w:rsidR="002278EA" w:rsidRPr="00D52A3B" w:rsidRDefault="002278EA" w:rsidP="002278EA">
      <w:pPr>
        <w:tabs>
          <w:tab w:val="left" w:pos="426"/>
        </w:tabs>
        <w:autoSpaceDE w:val="0"/>
        <w:autoSpaceDN w:val="0"/>
        <w:adjustRightInd w:val="0"/>
        <w:jc w:val="both"/>
        <w:rPr>
          <w:i/>
          <w:color w:val="000000"/>
          <w:szCs w:val="20"/>
        </w:rPr>
      </w:pPr>
      <w:bookmarkStart w:id="0" w:name="_GoBack"/>
      <w:bookmarkEnd w:id="0"/>
    </w:p>
    <w:p w14:paraId="6449F347" w14:textId="77777777" w:rsidR="002278EA" w:rsidRPr="00D52A3B" w:rsidRDefault="002278EA" w:rsidP="002278EA">
      <w:pPr>
        <w:tabs>
          <w:tab w:val="left" w:pos="426"/>
        </w:tabs>
        <w:autoSpaceDE w:val="0"/>
        <w:autoSpaceDN w:val="0"/>
        <w:adjustRightInd w:val="0"/>
        <w:jc w:val="both"/>
        <w:rPr>
          <w:color w:val="000000"/>
          <w:szCs w:val="20"/>
        </w:rPr>
      </w:pPr>
      <w:r w:rsidRPr="00D52A3B">
        <w:rPr>
          <w:i/>
          <w:color w:val="000000"/>
          <w:szCs w:val="20"/>
        </w:rPr>
        <w:tab/>
        <w:t>NOTING</w:t>
      </w:r>
      <w:r w:rsidRPr="00D52A3B">
        <w:rPr>
          <w:color w:val="000000"/>
          <w:szCs w:val="20"/>
        </w:rPr>
        <w:t xml:space="preserve"> that the objective of the Convention is to maintain populations at levels that will support maximum sustainable catch (usually referred to as MSY);</w:t>
      </w:r>
    </w:p>
    <w:p w14:paraId="0406E993" w14:textId="77777777" w:rsidR="002278EA" w:rsidRPr="00D52A3B" w:rsidRDefault="002278EA" w:rsidP="002278EA">
      <w:pPr>
        <w:tabs>
          <w:tab w:val="left" w:pos="426"/>
        </w:tabs>
        <w:autoSpaceDE w:val="0"/>
        <w:autoSpaceDN w:val="0"/>
        <w:adjustRightInd w:val="0"/>
        <w:jc w:val="both"/>
        <w:rPr>
          <w:color w:val="000000"/>
          <w:szCs w:val="20"/>
        </w:rPr>
      </w:pPr>
    </w:p>
    <w:p w14:paraId="183B6CC5" w14:textId="77777777" w:rsidR="002278EA" w:rsidRPr="00D52A3B" w:rsidRDefault="002278EA" w:rsidP="002278EA">
      <w:pPr>
        <w:tabs>
          <w:tab w:val="left" w:pos="426"/>
        </w:tabs>
        <w:autoSpaceDE w:val="0"/>
        <w:autoSpaceDN w:val="0"/>
        <w:adjustRightInd w:val="0"/>
        <w:jc w:val="both"/>
        <w:rPr>
          <w:color w:val="000000"/>
          <w:szCs w:val="20"/>
        </w:rPr>
      </w:pPr>
      <w:r w:rsidRPr="00D52A3B">
        <w:rPr>
          <w:i/>
          <w:color w:val="000000"/>
          <w:szCs w:val="20"/>
        </w:rPr>
        <w:tab/>
        <w:t>CONSIDERING</w:t>
      </w:r>
      <w:r w:rsidRPr="00D52A3B">
        <w:rPr>
          <w:color w:val="000000"/>
          <w:szCs w:val="20"/>
        </w:rPr>
        <w:t xml:space="preserve"> that the 2013 Standing Committee on Research and Statistics (SCRS) stock assessment concluded that the northern albacore stock is overfished but that overfishing is not occurring, and advised that a level of catch of 28,000 t would meet the Convention management objective by 2020 with a 53% probability;</w:t>
      </w:r>
    </w:p>
    <w:p w14:paraId="3AC8762B" w14:textId="77777777" w:rsidR="002278EA" w:rsidRPr="00D52A3B" w:rsidRDefault="002278EA" w:rsidP="002278EA">
      <w:pPr>
        <w:tabs>
          <w:tab w:val="left" w:pos="426"/>
        </w:tabs>
        <w:autoSpaceDE w:val="0"/>
        <w:autoSpaceDN w:val="0"/>
        <w:adjustRightInd w:val="0"/>
        <w:jc w:val="both"/>
        <w:rPr>
          <w:color w:val="000000"/>
          <w:szCs w:val="20"/>
        </w:rPr>
      </w:pPr>
    </w:p>
    <w:p w14:paraId="376A16BB" w14:textId="16A502B3" w:rsidR="002278EA" w:rsidRPr="00D52A3B" w:rsidRDefault="002278EA" w:rsidP="002278EA">
      <w:pPr>
        <w:tabs>
          <w:tab w:val="left" w:pos="426"/>
        </w:tabs>
        <w:autoSpaceDE w:val="0"/>
        <w:autoSpaceDN w:val="0"/>
        <w:adjustRightInd w:val="0"/>
        <w:jc w:val="both"/>
        <w:rPr>
          <w:color w:val="000000"/>
          <w:szCs w:val="20"/>
        </w:rPr>
      </w:pPr>
      <w:r w:rsidRPr="00D52A3B">
        <w:rPr>
          <w:color w:val="000000"/>
          <w:szCs w:val="20"/>
        </w:rPr>
        <w:tab/>
      </w:r>
      <w:r w:rsidRPr="00D52A3B">
        <w:rPr>
          <w:i/>
          <w:color w:val="000000"/>
          <w:szCs w:val="20"/>
        </w:rPr>
        <w:t>CONSIDERING</w:t>
      </w:r>
      <w:r w:rsidRPr="00D52A3B">
        <w:rPr>
          <w:color w:val="000000"/>
          <w:szCs w:val="20"/>
        </w:rPr>
        <w:t xml:space="preserve"> tha</w:t>
      </w:r>
      <w:r w:rsidR="001851EA" w:rsidRPr="00D52A3B">
        <w:rPr>
          <w:color w:val="000000"/>
          <w:szCs w:val="20"/>
        </w:rPr>
        <w:t>t the Standing Working Group to Enhance</w:t>
      </w:r>
      <w:r w:rsidRPr="00D52A3B">
        <w:rPr>
          <w:color w:val="000000"/>
          <w:szCs w:val="20"/>
        </w:rPr>
        <w:t xml:space="preserve"> Dialogue between Fisheries Scientists and Managers (SWGSM) has proposed, among other case studies, the northern albacore stock as a suitable candidate to examine harvest control rules;</w:t>
      </w:r>
    </w:p>
    <w:p w14:paraId="7BF6C5DE" w14:textId="77777777" w:rsidR="002278EA" w:rsidRPr="00D52A3B" w:rsidRDefault="002278EA" w:rsidP="002278EA">
      <w:pPr>
        <w:tabs>
          <w:tab w:val="left" w:pos="426"/>
        </w:tabs>
        <w:autoSpaceDE w:val="0"/>
        <w:autoSpaceDN w:val="0"/>
        <w:adjustRightInd w:val="0"/>
        <w:jc w:val="both"/>
        <w:rPr>
          <w:color w:val="000000"/>
          <w:szCs w:val="20"/>
        </w:rPr>
      </w:pPr>
    </w:p>
    <w:p w14:paraId="4511CFDB" w14:textId="77777777" w:rsidR="002278EA" w:rsidRPr="00D52A3B" w:rsidRDefault="002278EA" w:rsidP="002278EA">
      <w:pPr>
        <w:tabs>
          <w:tab w:val="left" w:pos="426"/>
        </w:tabs>
        <w:autoSpaceDE w:val="0"/>
        <w:autoSpaceDN w:val="0"/>
        <w:adjustRightInd w:val="0"/>
        <w:jc w:val="both"/>
        <w:rPr>
          <w:color w:val="000000"/>
          <w:szCs w:val="20"/>
        </w:rPr>
      </w:pPr>
      <w:r w:rsidRPr="00D52A3B">
        <w:rPr>
          <w:color w:val="000000"/>
          <w:szCs w:val="20"/>
        </w:rPr>
        <w:tab/>
      </w:r>
      <w:r w:rsidRPr="00D52A3B">
        <w:rPr>
          <w:i/>
          <w:color w:val="000000"/>
          <w:szCs w:val="20"/>
        </w:rPr>
        <w:t>NOTING</w:t>
      </w:r>
      <w:r w:rsidRPr="00D52A3B">
        <w:rPr>
          <w:color w:val="000000"/>
          <w:szCs w:val="20"/>
        </w:rPr>
        <w:t xml:space="preserve"> the progress achieved so far by the SCRS in the work for testing harvest control rules and conducting management strategy evaluations for northern albacore and in particular the Kobe II Strategy matrix showing the different levels of probability of being in the green quadrant for different combinations of reference point values;</w:t>
      </w:r>
    </w:p>
    <w:p w14:paraId="575FE849" w14:textId="77777777" w:rsidR="002278EA" w:rsidRPr="00D52A3B" w:rsidRDefault="002278EA" w:rsidP="002278EA">
      <w:pPr>
        <w:tabs>
          <w:tab w:val="left" w:pos="426"/>
        </w:tabs>
        <w:autoSpaceDE w:val="0"/>
        <w:autoSpaceDN w:val="0"/>
        <w:adjustRightInd w:val="0"/>
        <w:jc w:val="both"/>
        <w:rPr>
          <w:color w:val="000000"/>
          <w:szCs w:val="20"/>
        </w:rPr>
      </w:pPr>
    </w:p>
    <w:p w14:paraId="155F2FA9" w14:textId="77777777" w:rsidR="002278EA" w:rsidRPr="00D52A3B" w:rsidRDefault="002278EA" w:rsidP="002278EA">
      <w:pPr>
        <w:autoSpaceDE w:val="0"/>
        <w:autoSpaceDN w:val="0"/>
        <w:adjustRightInd w:val="0"/>
        <w:jc w:val="center"/>
        <w:rPr>
          <w:color w:val="000000"/>
          <w:szCs w:val="20"/>
        </w:rPr>
      </w:pPr>
      <w:r w:rsidRPr="00D52A3B">
        <w:rPr>
          <w:color w:val="000000"/>
          <w:szCs w:val="20"/>
        </w:rPr>
        <w:t>THE INTERNATIONAL COMMISSION FOR THE CONSERVATION</w:t>
      </w:r>
    </w:p>
    <w:p w14:paraId="7FB41286" w14:textId="77777777" w:rsidR="002278EA" w:rsidRPr="00D52A3B" w:rsidRDefault="002278EA" w:rsidP="002278EA">
      <w:pPr>
        <w:autoSpaceDE w:val="0"/>
        <w:autoSpaceDN w:val="0"/>
        <w:adjustRightInd w:val="0"/>
        <w:jc w:val="center"/>
        <w:rPr>
          <w:color w:val="000000"/>
          <w:szCs w:val="20"/>
        </w:rPr>
      </w:pPr>
      <w:r w:rsidRPr="00D52A3B">
        <w:rPr>
          <w:color w:val="000000"/>
          <w:szCs w:val="20"/>
        </w:rPr>
        <w:t>OF ATLANTIC TUNAS (ICCAT) RECOMMENDS THAT:</w:t>
      </w:r>
    </w:p>
    <w:p w14:paraId="3A379E5C" w14:textId="77777777" w:rsidR="002278EA" w:rsidRPr="00D52A3B" w:rsidRDefault="002278EA" w:rsidP="002278EA">
      <w:pPr>
        <w:tabs>
          <w:tab w:val="left" w:pos="284"/>
          <w:tab w:val="left" w:pos="567"/>
        </w:tabs>
        <w:autoSpaceDE w:val="0"/>
        <w:autoSpaceDN w:val="0"/>
        <w:adjustRightInd w:val="0"/>
        <w:rPr>
          <w:color w:val="000000"/>
          <w:szCs w:val="20"/>
        </w:rPr>
      </w:pPr>
    </w:p>
    <w:p w14:paraId="02C2F6AF" w14:textId="77777777" w:rsidR="002278EA" w:rsidRPr="00D52A3B" w:rsidRDefault="002278EA" w:rsidP="002278EA">
      <w:pPr>
        <w:numPr>
          <w:ilvl w:val="0"/>
          <w:numId w:val="6"/>
        </w:numPr>
        <w:autoSpaceDE w:val="0"/>
        <w:autoSpaceDN w:val="0"/>
        <w:adjustRightInd w:val="0"/>
        <w:jc w:val="both"/>
        <w:rPr>
          <w:rFonts w:eastAsia="Calibri"/>
          <w:color w:val="000000"/>
          <w:szCs w:val="20"/>
          <w:lang w:val="en-GB"/>
        </w:rPr>
      </w:pPr>
      <w:r w:rsidRPr="00D52A3B">
        <w:rPr>
          <w:rFonts w:eastAsia="Calibri"/>
          <w:szCs w:val="20"/>
          <w:lang w:val="en-GB"/>
        </w:rPr>
        <w:t xml:space="preserve">The </w:t>
      </w:r>
      <w:r w:rsidRPr="00D52A3B">
        <w:rPr>
          <w:rFonts w:eastAsia="Calibri"/>
          <w:color w:val="000000"/>
          <w:szCs w:val="20"/>
          <w:lang w:val="en-GB"/>
        </w:rPr>
        <w:t>management objective for northern albacore stock is</w:t>
      </w:r>
    </w:p>
    <w:p w14:paraId="565A26DB" w14:textId="77777777" w:rsidR="002278EA" w:rsidRPr="00D52A3B" w:rsidRDefault="002278EA" w:rsidP="002278EA">
      <w:pPr>
        <w:autoSpaceDE w:val="0"/>
        <w:autoSpaceDN w:val="0"/>
        <w:adjustRightInd w:val="0"/>
        <w:ind w:left="360"/>
        <w:jc w:val="both"/>
        <w:rPr>
          <w:rFonts w:eastAsia="Calibri"/>
          <w:color w:val="000000"/>
          <w:szCs w:val="20"/>
          <w:lang w:val="en-GB"/>
        </w:rPr>
      </w:pPr>
    </w:p>
    <w:p w14:paraId="0C7E4117" w14:textId="77777777" w:rsidR="002278EA" w:rsidRPr="00CA6585" w:rsidRDefault="002278EA" w:rsidP="002278EA">
      <w:pPr>
        <w:numPr>
          <w:ilvl w:val="1"/>
          <w:numId w:val="6"/>
        </w:numPr>
        <w:autoSpaceDE w:val="0"/>
        <w:autoSpaceDN w:val="0"/>
        <w:adjustRightInd w:val="0"/>
        <w:jc w:val="both"/>
        <w:rPr>
          <w:rFonts w:eastAsia="Calibri"/>
          <w:color w:val="000000"/>
          <w:szCs w:val="20"/>
          <w:lang w:val="en-GB"/>
        </w:rPr>
      </w:pPr>
      <w:r w:rsidRPr="00D52A3B">
        <w:rPr>
          <w:rFonts w:eastAsia="Calibri"/>
          <w:szCs w:val="20"/>
          <w:lang w:val="en-GB"/>
        </w:rPr>
        <w:t xml:space="preserve">to maintain the stock in the green zone of the Kobe plot, with at least a 60% probability, while maximizing </w:t>
      </w:r>
      <w:r w:rsidRPr="00D52A3B">
        <w:rPr>
          <w:rFonts w:eastAsia="Calibri"/>
          <w:color w:val="000000"/>
          <w:szCs w:val="20"/>
          <w:lang w:val="en-GB"/>
        </w:rPr>
        <w:t>long</w:t>
      </w:r>
      <w:r w:rsidRPr="00D52A3B">
        <w:rPr>
          <w:rFonts w:eastAsia="Calibri"/>
          <w:szCs w:val="20"/>
          <w:lang w:val="en-GB"/>
        </w:rPr>
        <w:t>-</w:t>
      </w:r>
      <w:r w:rsidRPr="00D52A3B">
        <w:rPr>
          <w:rFonts w:eastAsia="Calibri"/>
          <w:color w:val="000000"/>
          <w:szCs w:val="20"/>
          <w:lang w:val="en-GB"/>
        </w:rPr>
        <w:t>term yield</w:t>
      </w:r>
      <w:r w:rsidRPr="00D52A3B">
        <w:rPr>
          <w:rFonts w:eastAsia="Calibri"/>
          <w:szCs w:val="20"/>
          <w:lang w:val="en-GB"/>
        </w:rPr>
        <w:t xml:space="preserve"> from the fishery, and </w:t>
      </w:r>
    </w:p>
    <w:p w14:paraId="2A38D81F" w14:textId="77777777" w:rsidR="00CA6585" w:rsidRPr="00D52A3B" w:rsidRDefault="00CA6585" w:rsidP="00CA6585">
      <w:pPr>
        <w:autoSpaceDE w:val="0"/>
        <w:autoSpaceDN w:val="0"/>
        <w:adjustRightInd w:val="0"/>
        <w:ind w:left="1080"/>
        <w:jc w:val="both"/>
        <w:rPr>
          <w:rFonts w:eastAsia="Calibri"/>
          <w:color w:val="000000"/>
          <w:szCs w:val="20"/>
          <w:lang w:val="en-GB"/>
        </w:rPr>
      </w:pPr>
    </w:p>
    <w:p w14:paraId="6293B498" w14:textId="77777777" w:rsidR="002278EA" w:rsidRPr="00D52A3B" w:rsidRDefault="002278EA" w:rsidP="002278EA">
      <w:pPr>
        <w:numPr>
          <w:ilvl w:val="1"/>
          <w:numId w:val="6"/>
        </w:numPr>
        <w:autoSpaceDE w:val="0"/>
        <w:autoSpaceDN w:val="0"/>
        <w:adjustRightInd w:val="0"/>
        <w:jc w:val="both"/>
        <w:rPr>
          <w:rFonts w:ascii="Calibri" w:eastAsia="Calibri" w:hAnsi="Calibri"/>
          <w:color w:val="000000"/>
          <w:szCs w:val="20"/>
          <w:lang w:val="en-GB"/>
        </w:rPr>
      </w:pPr>
      <w:r w:rsidRPr="00D52A3B">
        <w:rPr>
          <w:rFonts w:eastAsia="Calibri"/>
          <w:color w:val="000000"/>
          <w:szCs w:val="20"/>
          <w:lang w:val="en-GB"/>
        </w:rPr>
        <w:t>where the spawning stock biomass (SSB) has been assessed by the SCRS as below the level capable of producing MSY (SSB</w:t>
      </w:r>
      <w:r w:rsidRPr="00D52A3B">
        <w:rPr>
          <w:rFonts w:eastAsia="Calibri"/>
          <w:color w:val="000000"/>
          <w:szCs w:val="20"/>
          <w:vertAlign w:val="subscript"/>
          <w:lang w:val="en-GB"/>
        </w:rPr>
        <w:t>MSY</w:t>
      </w:r>
      <w:r w:rsidRPr="00D52A3B">
        <w:rPr>
          <w:rFonts w:eastAsia="Calibri"/>
          <w:color w:val="000000"/>
          <w:szCs w:val="20"/>
          <w:lang w:val="en-GB"/>
        </w:rPr>
        <w:t>), to rebuild SSB to or above SSB</w:t>
      </w:r>
      <w:r w:rsidRPr="00D52A3B">
        <w:rPr>
          <w:rFonts w:eastAsia="Calibri"/>
          <w:color w:val="000000"/>
          <w:szCs w:val="20"/>
          <w:vertAlign w:val="subscript"/>
          <w:lang w:val="en-GB"/>
        </w:rPr>
        <w:t>MSY</w:t>
      </w:r>
      <w:r w:rsidRPr="00D52A3B">
        <w:rPr>
          <w:rFonts w:eastAsia="Calibri"/>
          <w:szCs w:val="20"/>
          <w:lang w:val="en-GB"/>
        </w:rPr>
        <w:t xml:space="preserve">, </w:t>
      </w:r>
      <w:r w:rsidRPr="00D52A3B">
        <w:rPr>
          <w:rFonts w:eastAsia="Calibri"/>
          <w:color w:val="000000"/>
          <w:szCs w:val="20"/>
          <w:lang w:val="en-GB"/>
        </w:rPr>
        <w:t>with at least a 60% probability, and within as short time as possible, by 2020 at the latest, while maximizing average catch and minimizing inter-annual fluctuations in TAC levels.</w:t>
      </w:r>
    </w:p>
    <w:p w14:paraId="5B917520" w14:textId="77777777" w:rsidR="002278EA" w:rsidRPr="00D52A3B" w:rsidRDefault="002278EA" w:rsidP="002278EA">
      <w:pPr>
        <w:autoSpaceDE w:val="0"/>
        <w:autoSpaceDN w:val="0"/>
        <w:adjustRightInd w:val="0"/>
        <w:ind w:left="1080"/>
        <w:jc w:val="both"/>
        <w:rPr>
          <w:rFonts w:ascii="Calibri" w:eastAsia="Calibri" w:hAnsi="Calibri"/>
          <w:color w:val="000000"/>
          <w:szCs w:val="20"/>
          <w:lang w:val="en-GB"/>
        </w:rPr>
      </w:pPr>
    </w:p>
    <w:p w14:paraId="5784269D" w14:textId="77777777" w:rsidR="002278EA" w:rsidRPr="00D52A3B" w:rsidRDefault="002278EA" w:rsidP="002278EA">
      <w:pPr>
        <w:numPr>
          <w:ilvl w:val="0"/>
          <w:numId w:val="6"/>
        </w:numPr>
        <w:autoSpaceDE w:val="0"/>
        <w:autoSpaceDN w:val="0"/>
        <w:adjustRightInd w:val="0"/>
        <w:jc w:val="both"/>
        <w:rPr>
          <w:rFonts w:eastAsia="Calibri"/>
          <w:color w:val="000000"/>
          <w:szCs w:val="20"/>
          <w:lang w:val="en-GB"/>
        </w:rPr>
      </w:pPr>
      <w:r w:rsidRPr="00D52A3B">
        <w:rPr>
          <w:rFonts w:eastAsia="Calibri"/>
          <w:color w:val="000000"/>
          <w:szCs w:val="20"/>
          <w:lang w:val="en-GB"/>
        </w:rPr>
        <w:t>In 2016, the SCRS shall identify and test candidate reference points (e.g., SSB</w:t>
      </w:r>
      <w:r w:rsidRPr="00D52A3B">
        <w:rPr>
          <w:rFonts w:eastAsia="Calibri"/>
          <w:color w:val="000000"/>
          <w:szCs w:val="20"/>
          <w:vertAlign w:val="subscript"/>
          <w:lang w:val="en-GB"/>
        </w:rPr>
        <w:t>THRESHOLD</w:t>
      </w:r>
      <w:r w:rsidRPr="00D52A3B">
        <w:rPr>
          <w:rFonts w:eastAsia="Calibri"/>
          <w:color w:val="000000"/>
          <w:szCs w:val="20"/>
          <w:lang w:val="en-GB"/>
        </w:rPr>
        <w:t>, SSB</w:t>
      </w:r>
      <w:r w:rsidRPr="00D52A3B">
        <w:rPr>
          <w:rFonts w:eastAsia="Calibri"/>
          <w:color w:val="000000"/>
          <w:szCs w:val="20"/>
          <w:vertAlign w:val="subscript"/>
          <w:lang w:val="en-GB"/>
        </w:rPr>
        <w:t>LIM</w:t>
      </w:r>
      <w:r w:rsidRPr="00D52A3B">
        <w:rPr>
          <w:rFonts w:eastAsia="Calibri"/>
          <w:color w:val="000000"/>
          <w:szCs w:val="20"/>
          <w:lang w:val="en-GB"/>
        </w:rPr>
        <w:t xml:space="preserve"> and F</w:t>
      </w:r>
      <w:r w:rsidRPr="00D52A3B">
        <w:rPr>
          <w:rFonts w:eastAsia="Calibri"/>
          <w:color w:val="000000"/>
          <w:szCs w:val="20"/>
          <w:vertAlign w:val="subscript"/>
          <w:lang w:val="en-GB"/>
        </w:rPr>
        <w:t>TARGET</w:t>
      </w:r>
      <w:r w:rsidRPr="00D52A3B">
        <w:rPr>
          <w:rFonts w:eastAsia="Calibri"/>
          <w:color w:val="000000"/>
          <w:szCs w:val="20"/>
          <w:lang w:val="en-GB"/>
        </w:rPr>
        <w:t>) and associated harvest control rules (HCRs) that would support the management objective expressed in paragraph 1 above and/or any other management objectives agreed by the Commission.</w:t>
      </w:r>
    </w:p>
    <w:p w14:paraId="76473718" w14:textId="77777777" w:rsidR="002278EA" w:rsidRPr="00D52A3B" w:rsidRDefault="002278EA" w:rsidP="002278EA">
      <w:pPr>
        <w:autoSpaceDE w:val="0"/>
        <w:autoSpaceDN w:val="0"/>
        <w:adjustRightInd w:val="0"/>
        <w:ind w:left="360"/>
        <w:jc w:val="both"/>
        <w:rPr>
          <w:rFonts w:eastAsia="Calibri"/>
          <w:color w:val="000000"/>
          <w:szCs w:val="20"/>
          <w:lang w:val="en-GB"/>
        </w:rPr>
      </w:pPr>
    </w:p>
    <w:p w14:paraId="03CA4C2D" w14:textId="536539E9" w:rsidR="002278EA" w:rsidRPr="00D52A3B" w:rsidRDefault="002278EA" w:rsidP="002278EA">
      <w:pPr>
        <w:numPr>
          <w:ilvl w:val="0"/>
          <w:numId w:val="6"/>
        </w:numPr>
        <w:autoSpaceDE w:val="0"/>
        <w:autoSpaceDN w:val="0"/>
        <w:adjustRightInd w:val="0"/>
        <w:jc w:val="both"/>
        <w:rPr>
          <w:rFonts w:eastAsia="Calibri"/>
          <w:color w:val="000000"/>
          <w:szCs w:val="20"/>
          <w:lang w:val="en-GB"/>
        </w:rPr>
      </w:pPr>
      <w:r w:rsidRPr="00D52A3B">
        <w:rPr>
          <w:rFonts w:eastAsia="Calibri"/>
          <w:color w:val="000000"/>
          <w:szCs w:val="20"/>
          <w:lang w:val="en-GB"/>
        </w:rPr>
        <w:t>The result of the analyses described in paragraph 2 will</w:t>
      </w:r>
      <w:r w:rsidR="001851EA" w:rsidRPr="00D52A3B">
        <w:rPr>
          <w:rFonts w:eastAsia="Calibri"/>
          <w:color w:val="000000"/>
          <w:szCs w:val="20"/>
          <w:lang w:val="en-GB"/>
        </w:rPr>
        <w:t xml:space="preserve"> be</w:t>
      </w:r>
      <w:r w:rsidRPr="00D52A3B">
        <w:rPr>
          <w:rFonts w:eastAsia="Calibri"/>
          <w:color w:val="000000"/>
          <w:szCs w:val="20"/>
          <w:lang w:val="en-GB"/>
        </w:rPr>
        <w:t xml:space="preserve"> discussed in a dialogue between scientists and managers to be organised in 2016, either during a meeting of the SWGSM or as an inter-sessional meeting of Panel 2.</w:t>
      </w:r>
    </w:p>
    <w:p w14:paraId="5FE080F0" w14:textId="77777777" w:rsidR="002278EA" w:rsidRPr="00D52A3B" w:rsidRDefault="002278EA" w:rsidP="002278EA">
      <w:pPr>
        <w:autoSpaceDE w:val="0"/>
        <w:autoSpaceDN w:val="0"/>
        <w:adjustRightInd w:val="0"/>
        <w:ind w:left="360"/>
        <w:jc w:val="both"/>
        <w:rPr>
          <w:rFonts w:eastAsia="Calibri"/>
          <w:color w:val="000000"/>
          <w:szCs w:val="20"/>
          <w:lang w:val="en-GB"/>
        </w:rPr>
      </w:pPr>
    </w:p>
    <w:p w14:paraId="02D9067C" w14:textId="6D6B71EA" w:rsidR="002278EA" w:rsidRDefault="002278EA" w:rsidP="002278EA">
      <w:pPr>
        <w:numPr>
          <w:ilvl w:val="0"/>
          <w:numId w:val="6"/>
        </w:numPr>
        <w:autoSpaceDE w:val="0"/>
        <w:autoSpaceDN w:val="0"/>
        <w:adjustRightInd w:val="0"/>
        <w:jc w:val="both"/>
        <w:rPr>
          <w:rFonts w:eastAsia="Calibri"/>
          <w:color w:val="000000"/>
          <w:szCs w:val="20"/>
          <w:lang w:val="en-GB"/>
        </w:rPr>
      </w:pPr>
      <w:r w:rsidRPr="00D52A3B">
        <w:rPr>
          <w:rFonts w:eastAsia="Calibri"/>
          <w:color w:val="000000"/>
          <w:szCs w:val="20"/>
          <w:lang w:val="en-GB"/>
        </w:rPr>
        <w:t>Based on the SCRS inputs and advice provided pursuant to paragraph 2 above</w:t>
      </w:r>
      <w:r w:rsidRPr="00D52A3B">
        <w:rPr>
          <w:rFonts w:ascii="Calibri" w:eastAsia="Calibri" w:hAnsi="Calibri"/>
          <w:szCs w:val="20"/>
          <w:lang w:val="en-GB"/>
        </w:rPr>
        <w:t xml:space="preserve"> </w:t>
      </w:r>
      <w:r w:rsidRPr="00D52A3B">
        <w:rPr>
          <w:rFonts w:eastAsia="Calibri"/>
          <w:color w:val="000000"/>
          <w:szCs w:val="20"/>
          <w:lang w:val="en-GB"/>
        </w:rPr>
        <w:t>and the dialogue process indicated in paragraph 3, the Commission shall then adopt HCR for the northern albacore stock, including pre-agreed management actions to be taken under various stock conditions. For this specific purpose, the management actions below will be considered by the Commission and updated as necessary:</w:t>
      </w:r>
    </w:p>
    <w:p w14:paraId="07726CBE" w14:textId="77777777" w:rsidR="00CA6585" w:rsidRDefault="00CA6585" w:rsidP="00CA6585">
      <w:pPr>
        <w:autoSpaceDE w:val="0"/>
        <w:autoSpaceDN w:val="0"/>
        <w:adjustRightInd w:val="0"/>
        <w:ind w:left="1080"/>
        <w:jc w:val="both"/>
        <w:rPr>
          <w:rFonts w:eastAsia="Calibri"/>
          <w:color w:val="000000"/>
          <w:szCs w:val="20"/>
          <w:lang w:val="en-GB"/>
        </w:rPr>
      </w:pPr>
    </w:p>
    <w:p w14:paraId="5ADA75FF" w14:textId="77777777" w:rsidR="002278EA" w:rsidRPr="00D52A3B" w:rsidRDefault="002278EA" w:rsidP="002278EA">
      <w:pPr>
        <w:numPr>
          <w:ilvl w:val="1"/>
          <w:numId w:val="6"/>
        </w:numPr>
        <w:autoSpaceDE w:val="0"/>
        <w:autoSpaceDN w:val="0"/>
        <w:adjustRightInd w:val="0"/>
        <w:jc w:val="both"/>
        <w:rPr>
          <w:rFonts w:eastAsia="Calibri"/>
          <w:color w:val="000000"/>
          <w:szCs w:val="20"/>
          <w:lang w:val="en-GB"/>
        </w:rPr>
      </w:pPr>
      <w:r w:rsidRPr="00D52A3B">
        <w:rPr>
          <w:rFonts w:eastAsia="Calibri"/>
          <w:color w:val="000000"/>
          <w:szCs w:val="20"/>
          <w:lang w:val="en-GB"/>
        </w:rPr>
        <w:t>If the average spawning stock biomass (SSB) level is less than SSB</w:t>
      </w:r>
      <w:r w:rsidRPr="00D52A3B">
        <w:rPr>
          <w:rFonts w:eastAsia="Calibri"/>
          <w:color w:val="000000"/>
          <w:szCs w:val="20"/>
          <w:vertAlign w:val="subscript"/>
          <w:lang w:val="en-GB"/>
        </w:rPr>
        <w:t>LIM</w:t>
      </w:r>
      <w:r w:rsidRPr="00D52A3B">
        <w:rPr>
          <w:rFonts w:eastAsia="Calibri"/>
          <w:color w:val="000000"/>
          <w:szCs w:val="20"/>
          <w:lang w:val="en-GB"/>
        </w:rPr>
        <w:t xml:space="preserve"> </w:t>
      </w:r>
      <w:r w:rsidRPr="00D52A3B">
        <w:rPr>
          <w:rFonts w:ascii="Calibri" w:eastAsia="Calibri" w:hAnsi="Calibri"/>
          <w:color w:val="000000"/>
          <w:szCs w:val="20"/>
          <w:lang w:val="en-GB"/>
        </w:rPr>
        <w:t>(</w:t>
      </w:r>
      <w:r w:rsidRPr="00D52A3B">
        <w:rPr>
          <w:rFonts w:eastAsia="Calibri"/>
          <w:i/>
          <w:color w:val="000000"/>
          <w:szCs w:val="20"/>
          <w:lang w:val="en-GB"/>
        </w:rPr>
        <w:t>i.e., SSB&lt;SSB</w:t>
      </w:r>
      <w:r w:rsidRPr="00D52A3B">
        <w:rPr>
          <w:rFonts w:eastAsia="Calibri"/>
          <w:i/>
          <w:color w:val="000000"/>
          <w:szCs w:val="20"/>
          <w:vertAlign w:val="subscript"/>
          <w:lang w:val="en-GB"/>
        </w:rPr>
        <w:t>LIM</w:t>
      </w:r>
      <w:r w:rsidRPr="00D52A3B">
        <w:rPr>
          <w:rFonts w:eastAsia="Calibri"/>
          <w:color w:val="000000"/>
          <w:szCs w:val="20"/>
          <w:lang w:val="en-GB"/>
        </w:rPr>
        <w:t>), the Commission shall adopt severe management actions immediately to reduce the fishing mortality rate, including measures that suspend the fishery and initiate a scientific monitoring quota to be able to evaluate stock status. This scientific monitoring quota shall be set at the lowest possible level to be effective. The Commission shall not consider re-opening the fishery until the average SSB level exceeds SSB</w:t>
      </w:r>
      <w:r w:rsidRPr="00D52A3B">
        <w:rPr>
          <w:rFonts w:eastAsia="Calibri"/>
          <w:color w:val="000000"/>
          <w:szCs w:val="20"/>
          <w:vertAlign w:val="subscript"/>
          <w:lang w:val="en-GB"/>
        </w:rPr>
        <w:t>LIM</w:t>
      </w:r>
      <w:r w:rsidRPr="00D52A3B">
        <w:rPr>
          <w:rFonts w:eastAsia="Calibri"/>
          <w:color w:val="000000"/>
          <w:szCs w:val="20"/>
          <w:lang w:val="en-GB"/>
        </w:rPr>
        <w:t xml:space="preserve"> with a high probability.  Further, before reopening the fishery, the Commission shall develop a rebuilding program in order to ensure that the stock returns to the green zone of the Kobe plot.</w:t>
      </w:r>
    </w:p>
    <w:p w14:paraId="09EDA543" w14:textId="77777777" w:rsidR="002278EA" w:rsidRPr="00D52A3B" w:rsidRDefault="002278EA" w:rsidP="002278EA">
      <w:pPr>
        <w:numPr>
          <w:ilvl w:val="1"/>
          <w:numId w:val="6"/>
        </w:numPr>
        <w:autoSpaceDE w:val="0"/>
        <w:autoSpaceDN w:val="0"/>
        <w:adjustRightInd w:val="0"/>
        <w:ind w:left="1077" w:hanging="357"/>
        <w:jc w:val="both"/>
        <w:rPr>
          <w:rFonts w:eastAsia="Calibri"/>
          <w:color w:val="000000"/>
          <w:szCs w:val="20"/>
          <w:lang w:val="en-GB"/>
        </w:rPr>
      </w:pPr>
      <w:r w:rsidRPr="00D52A3B">
        <w:rPr>
          <w:rFonts w:eastAsia="Calibri"/>
          <w:color w:val="000000"/>
          <w:szCs w:val="20"/>
          <w:lang w:val="en-GB"/>
        </w:rPr>
        <w:lastRenderedPageBreak/>
        <w:t>If the average SSB level is equal to or less than SSB</w:t>
      </w:r>
      <w:r w:rsidRPr="00D52A3B">
        <w:rPr>
          <w:rFonts w:eastAsia="Calibri"/>
          <w:color w:val="000000"/>
          <w:szCs w:val="20"/>
          <w:vertAlign w:val="subscript"/>
          <w:lang w:val="en-GB"/>
        </w:rPr>
        <w:t>THRESHOLD</w:t>
      </w:r>
      <w:r w:rsidRPr="00D52A3B">
        <w:rPr>
          <w:rFonts w:eastAsia="Calibri"/>
          <w:color w:val="000000"/>
          <w:szCs w:val="20"/>
          <w:lang w:val="en-GB"/>
        </w:rPr>
        <w:t xml:space="preserve"> and equal to or above SSB</w:t>
      </w:r>
      <w:r w:rsidRPr="00D52A3B">
        <w:rPr>
          <w:rFonts w:eastAsia="Calibri"/>
          <w:color w:val="000000"/>
          <w:szCs w:val="20"/>
          <w:vertAlign w:val="subscript"/>
          <w:lang w:val="en-GB"/>
        </w:rPr>
        <w:t>LIM</w:t>
      </w:r>
      <w:r w:rsidRPr="00D52A3B">
        <w:rPr>
          <w:rFonts w:eastAsia="Calibri"/>
          <w:color w:val="000000"/>
          <w:szCs w:val="20"/>
          <w:lang w:val="en-GB"/>
        </w:rPr>
        <w:t xml:space="preserve"> (</w:t>
      </w:r>
      <w:r w:rsidRPr="00D52A3B">
        <w:rPr>
          <w:rFonts w:eastAsia="Calibri"/>
          <w:i/>
          <w:color w:val="000000"/>
          <w:szCs w:val="20"/>
          <w:lang w:val="en-GB"/>
        </w:rPr>
        <w:t>i.e., SSB</w:t>
      </w:r>
      <w:r w:rsidRPr="00D52A3B">
        <w:rPr>
          <w:rFonts w:eastAsia="Calibri"/>
          <w:i/>
          <w:color w:val="000000"/>
          <w:szCs w:val="20"/>
          <w:vertAlign w:val="subscript"/>
          <w:lang w:val="en-GB"/>
        </w:rPr>
        <w:t>LIM</w:t>
      </w:r>
      <w:r w:rsidRPr="00D52A3B">
        <w:rPr>
          <w:rFonts w:eastAsia="Calibri"/>
          <w:i/>
          <w:color w:val="000000"/>
          <w:szCs w:val="20"/>
          <w:lang w:val="en-GB"/>
        </w:rPr>
        <w:t> ≤ SSB ≤</w:t>
      </w:r>
      <w:r w:rsidRPr="00D52A3B">
        <w:rPr>
          <w:rFonts w:eastAsia="Calibri"/>
          <w:color w:val="000000"/>
          <w:szCs w:val="20"/>
          <w:lang w:val="en-GB"/>
        </w:rPr>
        <w:t> </w:t>
      </w:r>
      <w:r w:rsidRPr="00D52A3B">
        <w:rPr>
          <w:rFonts w:eastAsia="Calibri"/>
          <w:i/>
          <w:color w:val="000000"/>
          <w:szCs w:val="20"/>
          <w:lang w:val="en-GB"/>
        </w:rPr>
        <w:t>SSB</w:t>
      </w:r>
      <w:r w:rsidRPr="00D52A3B">
        <w:rPr>
          <w:rFonts w:eastAsia="Calibri"/>
          <w:i/>
          <w:color w:val="000000"/>
          <w:szCs w:val="20"/>
          <w:vertAlign w:val="subscript"/>
          <w:lang w:val="en-GB"/>
        </w:rPr>
        <w:t>THRESHOLD</w:t>
      </w:r>
      <w:r w:rsidRPr="00D52A3B">
        <w:rPr>
          <w:rFonts w:eastAsia="Calibri"/>
          <w:color w:val="000000"/>
          <w:szCs w:val="20"/>
          <w:lang w:val="en-GB"/>
        </w:rPr>
        <w:t>) and F is above the level specified in the HCR, the Commission shall take steps to reduce F as specified in the HCR to ensure F is at a level that will rebuild SSB to SSB</w:t>
      </w:r>
      <w:r w:rsidRPr="00D52A3B">
        <w:rPr>
          <w:rFonts w:eastAsia="Calibri"/>
          <w:color w:val="000000"/>
          <w:szCs w:val="20"/>
          <w:vertAlign w:val="subscript"/>
          <w:lang w:val="en-GB"/>
        </w:rPr>
        <w:t>MSY</w:t>
      </w:r>
      <w:r w:rsidRPr="00D52A3B">
        <w:rPr>
          <w:rFonts w:eastAsia="Calibri"/>
          <w:color w:val="000000"/>
          <w:szCs w:val="20"/>
          <w:lang w:val="en-GB"/>
        </w:rPr>
        <w:t xml:space="preserve"> or above that level.</w:t>
      </w:r>
    </w:p>
    <w:p w14:paraId="004F59B4" w14:textId="77777777" w:rsidR="002278EA" w:rsidRPr="00D52A3B" w:rsidRDefault="002278EA" w:rsidP="002278EA">
      <w:pPr>
        <w:pStyle w:val="ListParagraph"/>
        <w:spacing w:after="0" w:line="240" w:lineRule="auto"/>
        <w:rPr>
          <w:color w:val="000000"/>
          <w:sz w:val="20"/>
          <w:szCs w:val="20"/>
        </w:rPr>
      </w:pPr>
    </w:p>
    <w:p w14:paraId="7CE9BBDA" w14:textId="77777777" w:rsidR="002278EA" w:rsidRPr="00D52A3B" w:rsidRDefault="002278EA" w:rsidP="002278EA">
      <w:pPr>
        <w:numPr>
          <w:ilvl w:val="1"/>
          <w:numId w:val="6"/>
        </w:numPr>
        <w:autoSpaceDE w:val="0"/>
        <w:autoSpaceDN w:val="0"/>
        <w:adjustRightInd w:val="0"/>
        <w:ind w:left="1077" w:hanging="357"/>
        <w:jc w:val="both"/>
        <w:rPr>
          <w:rFonts w:eastAsia="Calibri"/>
          <w:color w:val="000000"/>
          <w:szCs w:val="20"/>
          <w:lang w:val="en-GB"/>
        </w:rPr>
      </w:pPr>
      <w:r w:rsidRPr="00D52A3B">
        <w:rPr>
          <w:rFonts w:eastAsia="Calibri"/>
          <w:color w:val="000000"/>
          <w:szCs w:val="20"/>
          <w:lang w:val="en-GB"/>
        </w:rPr>
        <w:t>If the average SSB is above SSB</w:t>
      </w:r>
      <w:r w:rsidRPr="00D52A3B">
        <w:rPr>
          <w:rFonts w:eastAsia="Calibri"/>
          <w:color w:val="000000"/>
          <w:szCs w:val="20"/>
          <w:vertAlign w:val="subscript"/>
          <w:lang w:val="en-GB"/>
        </w:rPr>
        <w:t>THRESHOLD</w:t>
      </w:r>
      <w:r w:rsidRPr="00D52A3B">
        <w:rPr>
          <w:rFonts w:eastAsia="Calibri"/>
          <w:color w:val="000000"/>
          <w:szCs w:val="20"/>
          <w:lang w:val="en-GB"/>
        </w:rPr>
        <w:t xml:space="preserve"> but F exceeds F</w:t>
      </w:r>
      <w:r w:rsidRPr="00D52A3B">
        <w:rPr>
          <w:rFonts w:eastAsia="Calibri"/>
          <w:color w:val="000000"/>
          <w:szCs w:val="20"/>
          <w:vertAlign w:val="subscript"/>
          <w:lang w:val="en-GB"/>
        </w:rPr>
        <w:t>TARGET</w:t>
      </w:r>
      <w:r w:rsidRPr="00D52A3B">
        <w:rPr>
          <w:rFonts w:eastAsia="Calibri"/>
          <w:color w:val="000000"/>
          <w:szCs w:val="20"/>
          <w:lang w:val="en-GB"/>
        </w:rPr>
        <w:t xml:space="preserve"> (</w:t>
      </w:r>
      <w:r w:rsidRPr="00D52A3B">
        <w:rPr>
          <w:rFonts w:eastAsia="Calibri"/>
          <w:i/>
          <w:color w:val="000000"/>
          <w:szCs w:val="20"/>
          <w:lang w:val="en-GB"/>
        </w:rPr>
        <w:t>i.e., SSB&gt;SSB</w:t>
      </w:r>
      <w:r w:rsidRPr="00D52A3B">
        <w:rPr>
          <w:rFonts w:eastAsia="Calibri"/>
          <w:i/>
          <w:color w:val="000000"/>
          <w:szCs w:val="20"/>
          <w:vertAlign w:val="subscript"/>
          <w:lang w:val="en-GB"/>
        </w:rPr>
        <w:t>THRESHOLD</w:t>
      </w:r>
      <w:r w:rsidRPr="00D52A3B">
        <w:rPr>
          <w:rFonts w:eastAsia="Calibri"/>
          <w:i/>
          <w:color w:val="000000"/>
          <w:szCs w:val="20"/>
          <w:lang w:val="en-GB"/>
        </w:rPr>
        <w:t xml:space="preserve"> and F&gt;F</w:t>
      </w:r>
      <w:r w:rsidRPr="00D52A3B">
        <w:rPr>
          <w:rFonts w:eastAsia="Calibri"/>
          <w:i/>
          <w:color w:val="000000"/>
          <w:szCs w:val="20"/>
          <w:vertAlign w:val="subscript"/>
          <w:lang w:val="en-GB"/>
        </w:rPr>
        <w:t>TARGET</w:t>
      </w:r>
      <w:r w:rsidRPr="00D52A3B">
        <w:rPr>
          <w:rFonts w:eastAsia="Calibri"/>
          <w:color w:val="000000"/>
          <w:szCs w:val="20"/>
          <w:lang w:val="en-GB"/>
        </w:rPr>
        <w:t>), the Commission shall immediately take steps to reduce F to F</w:t>
      </w:r>
      <w:r w:rsidRPr="00D52A3B">
        <w:rPr>
          <w:rFonts w:eastAsia="Calibri"/>
          <w:color w:val="000000"/>
          <w:szCs w:val="20"/>
          <w:vertAlign w:val="subscript"/>
          <w:lang w:val="en-GB"/>
        </w:rPr>
        <w:t>TARGET</w:t>
      </w:r>
      <w:r w:rsidRPr="00D52A3B">
        <w:rPr>
          <w:rFonts w:eastAsia="Calibri"/>
          <w:color w:val="000000"/>
          <w:szCs w:val="20"/>
          <w:lang w:val="en-GB"/>
        </w:rPr>
        <w:t>.</w:t>
      </w:r>
    </w:p>
    <w:p w14:paraId="00FC8228" w14:textId="77777777" w:rsidR="002278EA" w:rsidRPr="00D52A3B" w:rsidRDefault="002278EA" w:rsidP="002278EA">
      <w:pPr>
        <w:pStyle w:val="ListParagraph"/>
        <w:spacing w:after="0" w:line="240" w:lineRule="auto"/>
        <w:rPr>
          <w:color w:val="000000"/>
          <w:sz w:val="20"/>
          <w:szCs w:val="20"/>
        </w:rPr>
      </w:pPr>
    </w:p>
    <w:p w14:paraId="2DD88319" w14:textId="0FE7466E" w:rsidR="002278EA" w:rsidRPr="00D52A3B" w:rsidRDefault="002278EA" w:rsidP="002278EA">
      <w:pPr>
        <w:numPr>
          <w:ilvl w:val="1"/>
          <w:numId w:val="6"/>
        </w:numPr>
        <w:autoSpaceDE w:val="0"/>
        <w:autoSpaceDN w:val="0"/>
        <w:adjustRightInd w:val="0"/>
        <w:ind w:left="1077" w:hanging="357"/>
        <w:jc w:val="both"/>
        <w:rPr>
          <w:rFonts w:eastAsia="Calibri"/>
          <w:color w:val="000000"/>
          <w:szCs w:val="20"/>
          <w:lang w:val="en-GB"/>
        </w:rPr>
      </w:pPr>
      <w:r w:rsidRPr="00D52A3B">
        <w:rPr>
          <w:rFonts w:eastAsia="Calibri"/>
          <w:color w:val="000000"/>
          <w:szCs w:val="20"/>
          <w:lang w:val="en-GB"/>
        </w:rPr>
        <w:t>Once the average SSB level reaches or exceeds SSB</w:t>
      </w:r>
      <w:r w:rsidRPr="00D52A3B">
        <w:rPr>
          <w:rFonts w:eastAsia="Calibri"/>
          <w:color w:val="000000"/>
          <w:szCs w:val="20"/>
          <w:vertAlign w:val="subscript"/>
          <w:lang w:val="en-GB"/>
        </w:rPr>
        <w:t>THRESHOLD</w:t>
      </w:r>
      <w:r w:rsidRPr="00D52A3B">
        <w:rPr>
          <w:rFonts w:eastAsia="Calibri"/>
          <w:color w:val="000000"/>
          <w:szCs w:val="20"/>
          <w:lang w:val="en-GB"/>
        </w:rPr>
        <w:t xml:space="preserve"> and F is less or equal than F</w:t>
      </w:r>
      <w:r w:rsidRPr="00D52A3B">
        <w:rPr>
          <w:rFonts w:eastAsia="Calibri"/>
          <w:color w:val="000000"/>
          <w:szCs w:val="20"/>
          <w:vertAlign w:val="subscript"/>
          <w:lang w:val="en-GB"/>
        </w:rPr>
        <w:t>TARGET</w:t>
      </w:r>
      <w:r w:rsidRPr="00D52A3B">
        <w:rPr>
          <w:rFonts w:eastAsia="Calibri"/>
          <w:color w:val="000000"/>
          <w:szCs w:val="20"/>
          <w:lang w:val="en-GB"/>
        </w:rPr>
        <w:t xml:space="preserve"> (</w:t>
      </w:r>
      <w:r w:rsidRPr="00D52A3B">
        <w:rPr>
          <w:rFonts w:eastAsia="Calibri"/>
          <w:i/>
          <w:color w:val="000000"/>
          <w:szCs w:val="20"/>
          <w:lang w:val="en-GB"/>
        </w:rPr>
        <w:t>i.e., SSB &gt; SSB</w:t>
      </w:r>
      <w:r w:rsidRPr="00D52A3B">
        <w:rPr>
          <w:rFonts w:eastAsia="Calibri"/>
          <w:i/>
          <w:color w:val="000000"/>
          <w:szCs w:val="20"/>
          <w:vertAlign w:val="subscript"/>
          <w:lang w:val="en-GB"/>
        </w:rPr>
        <w:t>THRESHOLD</w:t>
      </w:r>
      <w:r w:rsidRPr="00D52A3B">
        <w:rPr>
          <w:rFonts w:eastAsia="Calibri"/>
          <w:i/>
          <w:color w:val="000000"/>
          <w:szCs w:val="20"/>
          <w:lang w:val="en-GB"/>
        </w:rPr>
        <w:t xml:space="preserve"> and F ≤ F</w:t>
      </w:r>
      <w:r w:rsidRPr="00D52A3B">
        <w:rPr>
          <w:rFonts w:eastAsia="Calibri"/>
          <w:i/>
          <w:color w:val="000000"/>
          <w:szCs w:val="20"/>
          <w:vertAlign w:val="subscript"/>
          <w:lang w:val="en-GB"/>
        </w:rPr>
        <w:t>TARGET</w:t>
      </w:r>
      <w:r w:rsidRPr="00D52A3B">
        <w:rPr>
          <w:rFonts w:eastAsia="Calibri"/>
          <w:color w:val="000000"/>
          <w:szCs w:val="20"/>
          <w:lang w:val="en-GB"/>
        </w:rPr>
        <w:t>), the Commission shall assure that applied management measures will maintain F at or below F</w:t>
      </w:r>
      <w:r w:rsidRPr="00D52A3B">
        <w:rPr>
          <w:rFonts w:eastAsia="Calibri"/>
          <w:color w:val="000000"/>
          <w:szCs w:val="20"/>
          <w:vertAlign w:val="subscript"/>
          <w:lang w:val="en-GB"/>
        </w:rPr>
        <w:t>TARGET</w:t>
      </w:r>
      <w:r w:rsidRPr="00D52A3B">
        <w:rPr>
          <w:rFonts w:eastAsia="Calibri"/>
          <w:color w:val="000000"/>
          <w:szCs w:val="20"/>
          <w:lang w:val="en-GB"/>
        </w:rPr>
        <w:t>.</w:t>
      </w:r>
    </w:p>
    <w:p w14:paraId="35834708" w14:textId="77777777" w:rsidR="002278EA" w:rsidRPr="00D52A3B" w:rsidRDefault="002278EA" w:rsidP="002278EA">
      <w:pPr>
        <w:pStyle w:val="ListParagraph"/>
        <w:spacing w:after="0" w:line="240" w:lineRule="auto"/>
        <w:rPr>
          <w:color w:val="000000"/>
          <w:sz w:val="20"/>
          <w:szCs w:val="20"/>
        </w:rPr>
      </w:pPr>
    </w:p>
    <w:p w14:paraId="662A14F2" w14:textId="064D2EDA" w:rsidR="002278EA" w:rsidRPr="00D52A3B" w:rsidRDefault="002278EA" w:rsidP="002278EA">
      <w:pPr>
        <w:numPr>
          <w:ilvl w:val="0"/>
          <w:numId w:val="6"/>
        </w:numPr>
        <w:autoSpaceDE w:val="0"/>
        <w:autoSpaceDN w:val="0"/>
        <w:adjustRightInd w:val="0"/>
        <w:jc w:val="both"/>
        <w:rPr>
          <w:rFonts w:ascii="Calibri" w:eastAsia="Calibri" w:hAnsi="Calibri"/>
          <w:color w:val="FF0000"/>
          <w:szCs w:val="20"/>
        </w:rPr>
      </w:pPr>
      <w:r w:rsidRPr="00D52A3B">
        <w:rPr>
          <w:color w:val="000000"/>
          <w:szCs w:val="20"/>
        </w:rPr>
        <w:t>These HCRs should be evaluated by SCRS through the management strategy evaluation process, including in light of new assessments of the stock. The Commission shall review the results of these evaluations and make adjustments to the HCRs as needed.</w:t>
      </w:r>
      <w:r w:rsidRPr="00D52A3B">
        <w:rPr>
          <w:color w:val="FF0000"/>
          <w:szCs w:val="20"/>
        </w:rPr>
        <w:br w:type="page"/>
      </w:r>
    </w:p>
    <w:p w14:paraId="5A0B0323" w14:textId="73843A6A" w:rsidR="002278EA" w:rsidRPr="00D52A3B" w:rsidRDefault="002278EA" w:rsidP="002278EA">
      <w:pPr>
        <w:spacing w:after="200" w:line="276" w:lineRule="auto"/>
        <w:ind w:left="720"/>
        <w:jc w:val="right"/>
        <w:rPr>
          <w:b/>
          <w:szCs w:val="20"/>
        </w:rPr>
      </w:pPr>
      <w:r w:rsidRPr="00D52A3B">
        <w:rPr>
          <w:b/>
          <w:szCs w:val="20"/>
        </w:rPr>
        <w:lastRenderedPageBreak/>
        <w:t>Annex 1</w:t>
      </w:r>
    </w:p>
    <w:p w14:paraId="7C648087" w14:textId="77777777" w:rsidR="002278EA" w:rsidRPr="00D52A3B" w:rsidRDefault="002278EA" w:rsidP="002278EA">
      <w:pPr>
        <w:spacing w:after="200" w:line="276" w:lineRule="auto"/>
        <w:ind w:left="720"/>
        <w:jc w:val="center"/>
        <w:rPr>
          <w:b/>
          <w:szCs w:val="20"/>
        </w:rPr>
      </w:pPr>
      <w:r w:rsidRPr="00D52A3B">
        <w:rPr>
          <w:b/>
          <w:szCs w:val="20"/>
        </w:rPr>
        <w:t>Generic form of the HCR recommended by SCRS in 2010 that would be consistent with UNFSA (Report of the 2010 WGSAM)</w:t>
      </w:r>
    </w:p>
    <w:p w14:paraId="36A3C24A" w14:textId="77777777" w:rsidR="002278EA" w:rsidRPr="00D52A3B" w:rsidRDefault="002278EA" w:rsidP="002278EA">
      <w:pPr>
        <w:spacing w:after="200" w:line="276" w:lineRule="auto"/>
        <w:ind w:left="720"/>
        <w:rPr>
          <w:rFonts w:ascii="Times New Roman Bold" w:eastAsia="Calibri" w:hAnsi="Times New Roman Bold"/>
          <w:b/>
          <w:smallCaps/>
          <w:color w:val="FF0000"/>
          <w:szCs w:val="20"/>
        </w:rPr>
      </w:pPr>
      <w:r w:rsidRPr="00D52A3B">
        <w:rPr>
          <w:rFonts w:ascii="Times New Roman Bold" w:eastAsia="Calibri" w:hAnsi="Times New Roman Bold"/>
          <w:b/>
          <w:smallCaps/>
          <w:noProof/>
          <w:color w:val="FF0000"/>
          <w:szCs w:val="20"/>
          <w:lang w:val="es-ES" w:eastAsia="es-ES"/>
        </w:rPr>
        <w:drawing>
          <wp:inline distT="0" distB="0" distL="0" distR="0" wp14:anchorId="0A7ED5EF" wp14:editId="3EE1F8C8">
            <wp:extent cx="5102860" cy="323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860" cy="3230880"/>
                    </a:xfrm>
                    <a:prstGeom prst="rect">
                      <a:avLst/>
                    </a:prstGeom>
                    <a:noFill/>
                  </pic:spPr>
                </pic:pic>
              </a:graphicData>
            </a:graphic>
          </wp:inline>
        </w:drawing>
      </w:r>
    </w:p>
    <w:p w14:paraId="4361657A" w14:textId="77777777" w:rsidR="002278EA" w:rsidRPr="00D52A3B" w:rsidRDefault="002278EA" w:rsidP="002278EA">
      <w:pPr>
        <w:autoSpaceDE w:val="0"/>
        <w:autoSpaceDN w:val="0"/>
        <w:adjustRightInd w:val="0"/>
        <w:spacing w:after="200" w:line="276" w:lineRule="auto"/>
        <w:ind w:left="360"/>
        <w:jc w:val="both"/>
        <w:rPr>
          <w:rFonts w:ascii="Calibri" w:eastAsia="Calibri" w:hAnsi="Calibri"/>
          <w:szCs w:val="20"/>
          <w:lang w:val="en-GB"/>
        </w:rPr>
      </w:pPr>
    </w:p>
    <w:p w14:paraId="2872A1B6" w14:textId="77777777" w:rsidR="002278EA" w:rsidRPr="00D52A3B" w:rsidRDefault="002278EA" w:rsidP="002278EA">
      <w:pPr>
        <w:jc w:val="both"/>
        <w:rPr>
          <w:b/>
          <w:szCs w:val="20"/>
          <w:lang w:eastAsia="en-GB"/>
        </w:rPr>
      </w:pPr>
    </w:p>
    <w:sectPr w:rsidR="002278EA" w:rsidRPr="00D52A3B" w:rsidSect="00106E0C">
      <w:footerReference w:type="default" r:id="rId10"/>
      <w:headerReference w:type="first" r:id="rId11"/>
      <w:footerReference w:type="first" r:id="rId12"/>
      <w:pgSz w:w="11906" w:h="16838" w:code="9"/>
      <w:pgMar w:top="1418" w:right="1418" w:bottom="1418"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AB31A" w14:textId="77777777" w:rsidR="005B4C6D" w:rsidRDefault="005B4C6D" w:rsidP="00B70E28">
      <w:r>
        <w:separator/>
      </w:r>
    </w:p>
  </w:endnote>
  <w:endnote w:type="continuationSeparator" w:id="0">
    <w:p w14:paraId="4CA48AD5" w14:textId="77777777" w:rsidR="005B4C6D" w:rsidRDefault="005B4C6D" w:rsidP="00B70E28">
      <w:r>
        <w:continuationSeparator/>
      </w:r>
    </w:p>
  </w:endnote>
  <w:endnote w:type="continuationNotice" w:id="1">
    <w:p w14:paraId="3D559942" w14:textId="77777777" w:rsidR="005B4C6D" w:rsidRDefault="005B4C6D" w:rsidP="00B70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340650"/>
      <w:docPartObj>
        <w:docPartGallery w:val="Page Numbers (Bottom of Page)"/>
        <w:docPartUnique/>
      </w:docPartObj>
    </w:sdtPr>
    <w:sdtEndPr>
      <w:rPr>
        <w:noProof/>
      </w:rPr>
    </w:sdtEndPr>
    <w:sdtContent>
      <w:p w14:paraId="4C1BEA34" w14:textId="76AFD9F7" w:rsidR="00CA6585" w:rsidRDefault="00CA6585">
        <w:pPr>
          <w:pStyle w:val="Footer"/>
          <w:jc w:val="center"/>
        </w:pPr>
        <w:r>
          <w:fldChar w:fldCharType="begin"/>
        </w:r>
        <w:r>
          <w:instrText xml:space="preserve"> PAGE   \* MERGEFORMAT </w:instrText>
        </w:r>
        <w:r>
          <w:fldChar w:fldCharType="separate"/>
        </w:r>
        <w:r w:rsidR="00B56E00">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F4E36" w14:textId="1CBD8816" w:rsidR="00B70E28" w:rsidRDefault="00694B5F" w:rsidP="006845B9">
    <w:pPr>
      <w:pStyle w:val="Footer"/>
      <w:jc w:val="center"/>
    </w:pPr>
    <w:r w:rsidRPr="00694B5F">
      <w:rPr>
        <w:szCs w:val="20"/>
      </w:rPr>
      <w:t xml:space="preserve">Page </w:t>
    </w:r>
    <w:r w:rsidRPr="00694B5F">
      <w:rPr>
        <w:szCs w:val="20"/>
      </w:rPr>
      <w:fldChar w:fldCharType="begin"/>
    </w:r>
    <w:r w:rsidRPr="00694B5F">
      <w:rPr>
        <w:szCs w:val="20"/>
      </w:rPr>
      <w:instrText xml:space="preserve"> PAGE </w:instrText>
    </w:r>
    <w:r w:rsidRPr="00694B5F">
      <w:rPr>
        <w:szCs w:val="20"/>
      </w:rPr>
      <w:fldChar w:fldCharType="separate"/>
    </w:r>
    <w:r w:rsidR="00106E0C">
      <w:rPr>
        <w:noProof/>
        <w:szCs w:val="20"/>
      </w:rPr>
      <w:t>1</w:t>
    </w:r>
    <w:r w:rsidRPr="00694B5F">
      <w:rPr>
        <w:szCs w:val="20"/>
      </w:rPr>
      <w:fldChar w:fldCharType="end"/>
    </w:r>
    <w:r w:rsidRPr="00694B5F">
      <w:rPr>
        <w:szCs w:val="20"/>
      </w:rPr>
      <w:t xml:space="preserve"> of </w:t>
    </w:r>
    <w:r w:rsidRPr="00694B5F">
      <w:rPr>
        <w:szCs w:val="20"/>
      </w:rPr>
      <w:fldChar w:fldCharType="begin"/>
    </w:r>
    <w:r w:rsidRPr="00694B5F">
      <w:rPr>
        <w:szCs w:val="20"/>
      </w:rPr>
      <w:instrText xml:space="preserve"> NUMPAGES  </w:instrText>
    </w:r>
    <w:r w:rsidRPr="00694B5F">
      <w:rPr>
        <w:szCs w:val="20"/>
      </w:rPr>
      <w:fldChar w:fldCharType="separate"/>
    </w:r>
    <w:r w:rsidR="00B56E00">
      <w:rPr>
        <w:noProof/>
        <w:szCs w:val="20"/>
      </w:rPr>
      <w:t>3</w:t>
    </w:r>
    <w:r w:rsidRPr="00694B5F">
      <w:rP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E9C76" w14:textId="77777777" w:rsidR="005B4C6D" w:rsidRDefault="005B4C6D" w:rsidP="00B70E28">
      <w:r>
        <w:separator/>
      </w:r>
    </w:p>
  </w:footnote>
  <w:footnote w:type="continuationSeparator" w:id="0">
    <w:p w14:paraId="16D49E6D" w14:textId="77777777" w:rsidR="005B4C6D" w:rsidRDefault="005B4C6D" w:rsidP="00B70E28">
      <w:r>
        <w:continuationSeparator/>
      </w:r>
    </w:p>
  </w:footnote>
  <w:footnote w:type="continuationNotice" w:id="1">
    <w:p w14:paraId="0BC45ADD" w14:textId="77777777" w:rsidR="005B4C6D" w:rsidRDefault="005B4C6D" w:rsidP="00B70E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DD56A" w14:textId="510A5CE7" w:rsidR="003F7F18" w:rsidRPr="00F42775" w:rsidRDefault="003F7F18" w:rsidP="003F7F18">
    <w:pPr>
      <w:widowControl w:val="0"/>
      <w:autoSpaceDE w:val="0"/>
      <w:autoSpaceDN w:val="0"/>
      <w:adjustRightInd w:val="0"/>
      <w:rPr>
        <w:b/>
        <w:bCs/>
        <w:sz w:val="28"/>
        <w:szCs w:val="20"/>
        <w:lang w:val="pt-PT"/>
      </w:rPr>
    </w:pPr>
    <w:r w:rsidRPr="00F42775">
      <w:rPr>
        <w:b/>
        <w:bCs/>
        <w:lang w:val="pt-PT"/>
      </w:rPr>
      <w:t xml:space="preserve">2015 COM – Draft Rec. </w:t>
    </w:r>
    <w:r w:rsidR="004B1087" w:rsidRPr="00F42775">
      <w:rPr>
        <w:b/>
        <w:bCs/>
        <w:lang w:val="pt-PT"/>
      </w:rPr>
      <w:t>HCR - NALB</w:t>
    </w:r>
    <w:r w:rsidR="004B1087" w:rsidRPr="00F42775">
      <w:rPr>
        <w:b/>
        <w:bCs/>
        <w:szCs w:val="20"/>
        <w:lang w:val="pt-PT"/>
      </w:rPr>
      <w:t xml:space="preserve">    </w:t>
    </w:r>
    <w:r w:rsidR="004B1087" w:rsidRPr="00F42775">
      <w:rPr>
        <w:b/>
        <w:bCs/>
        <w:szCs w:val="20"/>
        <w:lang w:val="pt-PT"/>
      </w:rPr>
      <w:tab/>
    </w:r>
    <w:r w:rsidR="004B1087" w:rsidRPr="00F42775">
      <w:rPr>
        <w:b/>
        <w:bCs/>
        <w:szCs w:val="20"/>
        <w:lang w:val="pt-PT"/>
      </w:rPr>
      <w:tab/>
    </w:r>
    <w:r w:rsidR="004B1087" w:rsidRPr="00F42775">
      <w:rPr>
        <w:b/>
        <w:bCs/>
        <w:szCs w:val="20"/>
        <w:lang w:val="pt-PT"/>
      </w:rPr>
      <w:tab/>
      <w:t xml:space="preserve">    </w:t>
    </w:r>
    <w:r w:rsidRPr="00F42775">
      <w:rPr>
        <w:b/>
        <w:bCs/>
        <w:szCs w:val="20"/>
        <w:lang w:val="pt-PT"/>
      </w:rPr>
      <w:t xml:space="preserve"> </w:t>
    </w:r>
    <w:r w:rsidRPr="00F42775">
      <w:rPr>
        <w:b/>
        <w:bCs/>
        <w:sz w:val="28"/>
        <w:szCs w:val="20"/>
        <w:lang w:val="pt-PT"/>
      </w:rPr>
      <w:t>Doc. No. PA</w:t>
    </w:r>
    <w:r w:rsidR="004B1087" w:rsidRPr="00F42775">
      <w:rPr>
        <w:b/>
        <w:bCs/>
        <w:sz w:val="28"/>
        <w:szCs w:val="20"/>
        <w:lang w:val="pt-PT"/>
      </w:rPr>
      <w:t>2</w:t>
    </w:r>
    <w:r w:rsidRPr="00F42775">
      <w:rPr>
        <w:b/>
        <w:bCs/>
        <w:sz w:val="28"/>
        <w:szCs w:val="20"/>
        <w:lang w:val="pt-PT"/>
      </w:rPr>
      <w:t>-</w:t>
    </w:r>
    <w:r w:rsidR="004B1087" w:rsidRPr="00F42775">
      <w:rPr>
        <w:b/>
        <w:bCs/>
        <w:sz w:val="28"/>
        <w:szCs w:val="20"/>
        <w:lang w:val="pt-PT"/>
      </w:rPr>
      <w:t>602</w:t>
    </w:r>
    <w:r w:rsidR="00EC5BC8">
      <w:rPr>
        <w:b/>
        <w:bCs/>
        <w:sz w:val="28"/>
        <w:szCs w:val="20"/>
        <w:lang w:val="pt-PT"/>
      </w:rPr>
      <w:t>A</w:t>
    </w:r>
    <w:r w:rsidRPr="00F42775">
      <w:rPr>
        <w:b/>
        <w:bCs/>
        <w:sz w:val="28"/>
        <w:szCs w:val="20"/>
        <w:lang w:val="pt-PT"/>
      </w:rPr>
      <w:t xml:space="preserve"> / 2015</w:t>
    </w:r>
  </w:p>
  <w:p w14:paraId="10B121EC" w14:textId="3D8748AB" w:rsidR="003F7F18" w:rsidRPr="00F42775" w:rsidRDefault="003F7F18" w:rsidP="003F7F18">
    <w:pPr>
      <w:widowControl w:val="0"/>
      <w:autoSpaceDE w:val="0"/>
      <w:autoSpaceDN w:val="0"/>
      <w:adjustRightInd w:val="0"/>
      <w:rPr>
        <w:b/>
        <w:bCs/>
        <w:lang w:val="pt-PT"/>
      </w:rPr>
    </w:pPr>
    <w:r w:rsidRPr="003F7F18">
      <w:rPr>
        <w:b/>
        <w:bCs/>
      </w:rPr>
      <w:fldChar w:fldCharType="begin"/>
    </w:r>
    <w:r w:rsidRPr="003F7F18">
      <w:rPr>
        <w:b/>
        <w:bCs/>
      </w:rPr>
      <w:instrText xml:space="preserve"> TIME  \@ "MMMM d, yyyy" </w:instrText>
    </w:r>
    <w:r w:rsidRPr="003F7F18">
      <w:rPr>
        <w:b/>
        <w:bCs/>
      </w:rPr>
      <w:fldChar w:fldCharType="separate"/>
    </w:r>
    <w:r w:rsidR="00B56E00">
      <w:rPr>
        <w:b/>
        <w:bCs/>
        <w:noProof/>
      </w:rPr>
      <w:t>November 24, 2015</w:t>
    </w:r>
    <w:r w:rsidRPr="003F7F18">
      <w:rPr>
        <w:b/>
        <w:bCs/>
      </w:rPr>
      <w:fldChar w:fldCharType="end"/>
    </w:r>
    <w:r w:rsidRPr="00F42775">
      <w:rPr>
        <w:b/>
        <w:bCs/>
        <w:lang w:val="pt-PT"/>
      </w:rPr>
      <w:t xml:space="preserve"> (</w:t>
    </w:r>
    <w:r w:rsidRPr="003F7F18">
      <w:rPr>
        <w:b/>
        <w:bCs/>
      </w:rPr>
      <w:fldChar w:fldCharType="begin"/>
    </w:r>
    <w:r w:rsidRPr="003F7F18">
      <w:rPr>
        <w:b/>
        <w:bCs/>
      </w:rPr>
      <w:instrText xml:space="preserve"> DATE \@ "h:mm am/pm" </w:instrText>
    </w:r>
    <w:r w:rsidRPr="003F7F18">
      <w:rPr>
        <w:b/>
        <w:bCs/>
      </w:rPr>
      <w:fldChar w:fldCharType="separate"/>
    </w:r>
    <w:r w:rsidR="00B56E00">
      <w:rPr>
        <w:b/>
        <w:bCs/>
        <w:noProof/>
      </w:rPr>
      <w:t>10:04 AM</w:t>
    </w:r>
    <w:r w:rsidRPr="003F7F18">
      <w:rPr>
        <w:b/>
        <w:bCs/>
      </w:rPr>
      <w:fldChar w:fldCharType="end"/>
    </w:r>
    <w:r w:rsidRPr="00F42775">
      <w:rPr>
        <w:b/>
        <w:bCs/>
        <w:lang w:val="pt-PT"/>
      </w:rPr>
      <w:t>)</w:t>
    </w:r>
  </w:p>
  <w:p w14:paraId="2576173F" w14:textId="2BC0F6FA" w:rsidR="00B70E28" w:rsidRDefault="00F92B3C" w:rsidP="00F42775">
    <w:pPr>
      <w:pStyle w:val="Header"/>
    </w:pPr>
    <w:r>
      <w:rPr>
        <w:noProof/>
        <w:lang w:val="es-ES" w:eastAsia="es-ES"/>
      </w:rPr>
      <mc:AlternateContent>
        <mc:Choice Requires="wps">
          <w:drawing>
            <wp:anchor distT="0" distB="0" distL="114300" distR="114300" simplePos="0" relativeHeight="251661312" behindDoc="0" locked="0" layoutInCell="1" allowOverlap="1" wp14:anchorId="259BA962" wp14:editId="42CF74CF">
              <wp:simplePos x="0" y="0"/>
              <wp:positionH relativeFrom="column">
                <wp:posOffset>61595</wp:posOffset>
              </wp:positionH>
              <wp:positionV relativeFrom="paragraph">
                <wp:posOffset>59690</wp:posOffset>
              </wp:positionV>
              <wp:extent cx="5457825" cy="9525"/>
              <wp:effectExtent l="0" t="0" r="28575"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7825"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DE98D36" id="_x0000_t32" coordsize="21600,21600" o:spt="32" o:oned="t" path="m,l21600,21600e" filled="f">
              <v:path arrowok="t" fillok="f" o:connecttype="none"/>
              <o:lock v:ext="edit" shapetype="t"/>
            </v:shapetype>
            <v:shape id="Straight Arrow Connector 1" o:spid="_x0000_s1026" type="#_x0000_t32" style="position:absolute;margin-left:4.85pt;margin-top:4.7pt;width:429.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CEE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CA3E57"/>
    <w:multiLevelType w:val="hybridMultilevel"/>
    <w:tmpl w:val="A6E07486"/>
    <w:lvl w:ilvl="0" w:tplc="C98442CE">
      <w:start w:val="1"/>
      <w:numFmt w:val="decimal"/>
      <w:lvlText w:val="%1."/>
      <w:lvlJc w:val="left"/>
      <w:pPr>
        <w:ind w:left="360" w:hanging="360"/>
      </w:pPr>
      <w:rPr>
        <w:rFonts w:ascii="Times New Roman" w:hAnsi="Times New Roman" w:cs="Times New Roman" w:hint="default"/>
        <w:color w:val="auto"/>
      </w:rPr>
    </w:lvl>
    <w:lvl w:ilvl="1" w:tplc="AA54C37E">
      <w:start w:val="1"/>
      <w:numFmt w:val="lowerLetter"/>
      <w:lvlText w:val="%2)"/>
      <w:lvlJc w:val="left"/>
      <w:pPr>
        <w:ind w:left="1080" w:hanging="360"/>
      </w:pPr>
      <w:rPr>
        <w:rFonts w:ascii="Times New Roman" w:hAnsi="Times New Roman" w:cs="Times New Roman" w:hint="default"/>
        <w:u w:val="none"/>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F296692"/>
    <w:multiLevelType w:val="hybridMultilevel"/>
    <w:tmpl w:val="255802E6"/>
    <w:lvl w:ilvl="0" w:tplc="A3F69AD2">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8F3400"/>
    <w:multiLevelType w:val="hybridMultilevel"/>
    <w:tmpl w:val="B3BCC1E4"/>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nsid w:val="44397B78"/>
    <w:multiLevelType w:val="hybridMultilevel"/>
    <w:tmpl w:val="E7B48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3726FD"/>
    <w:multiLevelType w:val="hybridMultilevel"/>
    <w:tmpl w:val="DC8C918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394FA7"/>
    <w:rsid w:val="000000FF"/>
    <w:rsid w:val="00007DEF"/>
    <w:rsid w:val="0001539F"/>
    <w:rsid w:val="00017D21"/>
    <w:rsid w:val="00022837"/>
    <w:rsid w:val="000244B6"/>
    <w:rsid w:val="00032DB1"/>
    <w:rsid w:val="0003787E"/>
    <w:rsid w:val="00050F27"/>
    <w:rsid w:val="0007256E"/>
    <w:rsid w:val="0008403F"/>
    <w:rsid w:val="00085D71"/>
    <w:rsid w:val="000A4FBA"/>
    <w:rsid w:val="000A5AB4"/>
    <w:rsid w:val="000B4041"/>
    <w:rsid w:val="000B5948"/>
    <w:rsid w:val="000B5BB3"/>
    <w:rsid w:val="000D6956"/>
    <w:rsid w:val="000E1DB7"/>
    <w:rsid w:val="000E3A75"/>
    <w:rsid w:val="000E7FD0"/>
    <w:rsid w:val="000F0D44"/>
    <w:rsid w:val="00106E0C"/>
    <w:rsid w:val="00115DC9"/>
    <w:rsid w:val="00130A75"/>
    <w:rsid w:val="00132C39"/>
    <w:rsid w:val="00133289"/>
    <w:rsid w:val="001612A0"/>
    <w:rsid w:val="00163616"/>
    <w:rsid w:val="001851EA"/>
    <w:rsid w:val="001A1017"/>
    <w:rsid w:val="001A1C4B"/>
    <w:rsid w:val="001A214C"/>
    <w:rsid w:val="001A4323"/>
    <w:rsid w:val="001C29B9"/>
    <w:rsid w:val="001C4243"/>
    <w:rsid w:val="001C737B"/>
    <w:rsid w:val="001D32A6"/>
    <w:rsid w:val="001D6C4A"/>
    <w:rsid w:val="001F040A"/>
    <w:rsid w:val="001F2546"/>
    <w:rsid w:val="002130F8"/>
    <w:rsid w:val="002161A8"/>
    <w:rsid w:val="002272DA"/>
    <w:rsid w:val="002278EA"/>
    <w:rsid w:val="00230F40"/>
    <w:rsid w:val="002361BA"/>
    <w:rsid w:val="00247D46"/>
    <w:rsid w:val="002549CE"/>
    <w:rsid w:val="00254EE9"/>
    <w:rsid w:val="00261FA0"/>
    <w:rsid w:val="00270AB9"/>
    <w:rsid w:val="00292BC4"/>
    <w:rsid w:val="002951BA"/>
    <w:rsid w:val="00296510"/>
    <w:rsid w:val="00297BEF"/>
    <w:rsid w:val="002A000B"/>
    <w:rsid w:val="002B3080"/>
    <w:rsid w:val="002C7071"/>
    <w:rsid w:val="002D0FAF"/>
    <w:rsid w:val="002F127B"/>
    <w:rsid w:val="002F5AEB"/>
    <w:rsid w:val="00300CB5"/>
    <w:rsid w:val="00302404"/>
    <w:rsid w:val="00304CF6"/>
    <w:rsid w:val="00307587"/>
    <w:rsid w:val="003076BE"/>
    <w:rsid w:val="00311C34"/>
    <w:rsid w:val="00321EAE"/>
    <w:rsid w:val="00325B57"/>
    <w:rsid w:val="003269B7"/>
    <w:rsid w:val="00334DD0"/>
    <w:rsid w:val="00342A17"/>
    <w:rsid w:val="00343F81"/>
    <w:rsid w:val="00353BED"/>
    <w:rsid w:val="00356C67"/>
    <w:rsid w:val="00357B2C"/>
    <w:rsid w:val="003621EB"/>
    <w:rsid w:val="00373983"/>
    <w:rsid w:val="003771F6"/>
    <w:rsid w:val="003906CB"/>
    <w:rsid w:val="00394FA7"/>
    <w:rsid w:val="003A2DD3"/>
    <w:rsid w:val="003B0251"/>
    <w:rsid w:val="003B6638"/>
    <w:rsid w:val="003C1904"/>
    <w:rsid w:val="003C77BE"/>
    <w:rsid w:val="003D7682"/>
    <w:rsid w:val="003F1AEA"/>
    <w:rsid w:val="003F7F18"/>
    <w:rsid w:val="004077A4"/>
    <w:rsid w:val="004142F2"/>
    <w:rsid w:val="00424DF8"/>
    <w:rsid w:val="00426400"/>
    <w:rsid w:val="00430401"/>
    <w:rsid w:val="00431596"/>
    <w:rsid w:val="00432935"/>
    <w:rsid w:val="00434A6D"/>
    <w:rsid w:val="0043540F"/>
    <w:rsid w:val="00443CDA"/>
    <w:rsid w:val="004456B0"/>
    <w:rsid w:val="0045183E"/>
    <w:rsid w:val="00463AA1"/>
    <w:rsid w:val="00464574"/>
    <w:rsid w:val="00472040"/>
    <w:rsid w:val="00490B68"/>
    <w:rsid w:val="004926BB"/>
    <w:rsid w:val="0049598A"/>
    <w:rsid w:val="004963CB"/>
    <w:rsid w:val="00497B60"/>
    <w:rsid w:val="004A4108"/>
    <w:rsid w:val="004A5414"/>
    <w:rsid w:val="004B1087"/>
    <w:rsid w:val="004B66C3"/>
    <w:rsid w:val="004C205B"/>
    <w:rsid w:val="004E314F"/>
    <w:rsid w:val="004E7019"/>
    <w:rsid w:val="004F4BD2"/>
    <w:rsid w:val="005057B5"/>
    <w:rsid w:val="0051122A"/>
    <w:rsid w:val="0054107C"/>
    <w:rsid w:val="00546812"/>
    <w:rsid w:val="00557AF4"/>
    <w:rsid w:val="0057397B"/>
    <w:rsid w:val="00577CEC"/>
    <w:rsid w:val="005849F5"/>
    <w:rsid w:val="005860EE"/>
    <w:rsid w:val="00587193"/>
    <w:rsid w:val="005873D1"/>
    <w:rsid w:val="00597903"/>
    <w:rsid w:val="005A01F9"/>
    <w:rsid w:val="005A1F34"/>
    <w:rsid w:val="005A3643"/>
    <w:rsid w:val="005A6F9E"/>
    <w:rsid w:val="005A7902"/>
    <w:rsid w:val="005B4C6D"/>
    <w:rsid w:val="005B52A8"/>
    <w:rsid w:val="005B7073"/>
    <w:rsid w:val="005C0FF5"/>
    <w:rsid w:val="005C30E4"/>
    <w:rsid w:val="005C349E"/>
    <w:rsid w:val="005D0609"/>
    <w:rsid w:val="005E461F"/>
    <w:rsid w:val="005F4F89"/>
    <w:rsid w:val="005F6A05"/>
    <w:rsid w:val="00601608"/>
    <w:rsid w:val="00613A4A"/>
    <w:rsid w:val="00616128"/>
    <w:rsid w:val="0062161F"/>
    <w:rsid w:val="0062556D"/>
    <w:rsid w:val="006278FF"/>
    <w:rsid w:val="00630C1F"/>
    <w:rsid w:val="006318EA"/>
    <w:rsid w:val="00640E43"/>
    <w:rsid w:val="00642DE7"/>
    <w:rsid w:val="00645C9E"/>
    <w:rsid w:val="006474A1"/>
    <w:rsid w:val="00661B3B"/>
    <w:rsid w:val="00662F6A"/>
    <w:rsid w:val="0066396B"/>
    <w:rsid w:val="006674B6"/>
    <w:rsid w:val="00682C6F"/>
    <w:rsid w:val="006845B9"/>
    <w:rsid w:val="00691F28"/>
    <w:rsid w:val="00694B5F"/>
    <w:rsid w:val="006A6D48"/>
    <w:rsid w:val="006B0B2D"/>
    <w:rsid w:val="006B5D8B"/>
    <w:rsid w:val="006B6BEC"/>
    <w:rsid w:val="006C2F49"/>
    <w:rsid w:val="006C3C1A"/>
    <w:rsid w:val="006C3C9B"/>
    <w:rsid w:val="006C4231"/>
    <w:rsid w:val="006D52F3"/>
    <w:rsid w:val="006D6E4B"/>
    <w:rsid w:val="006F0CEF"/>
    <w:rsid w:val="007027C7"/>
    <w:rsid w:val="00704E43"/>
    <w:rsid w:val="00726C2D"/>
    <w:rsid w:val="00732615"/>
    <w:rsid w:val="00734F34"/>
    <w:rsid w:val="007369F9"/>
    <w:rsid w:val="00743EC3"/>
    <w:rsid w:val="00752C1C"/>
    <w:rsid w:val="00753683"/>
    <w:rsid w:val="00756CC3"/>
    <w:rsid w:val="007676C1"/>
    <w:rsid w:val="00767D69"/>
    <w:rsid w:val="00774D85"/>
    <w:rsid w:val="007754DB"/>
    <w:rsid w:val="007824BA"/>
    <w:rsid w:val="00794261"/>
    <w:rsid w:val="007A30AA"/>
    <w:rsid w:val="007A48B7"/>
    <w:rsid w:val="007A789D"/>
    <w:rsid w:val="007C120C"/>
    <w:rsid w:val="007C568D"/>
    <w:rsid w:val="007D3972"/>
    <w:rsid w:val="007D6ADB"/>
    <w:rsid w:val="007E033C"/>
    <w:rsid w:val="007E107D"/>
    <w:rsid w:val="007E13AB"/>
    <w:rsid w:val="007E6A56"/>
    <w:rsid w:val="007F3D10"/>
    <w:rsid w:val="00800D06"/>
    <w:rsid w:val="008033F5"/>
    <w:rsid w:val="00803706"/>
    <w:rsid w:val="00804C04"/>
    <w:rsid w:val="00810123"/>
    <w:rsid w:val="00817029"/>
    <w:rsid w:val="008205DB"/>
    <w:rsid w:val="00821931"/>
    <w:rsid w:val="00822ED7"/>
    <w:rsid w:val="008256A5"/>
    <w:rsid w:val="00834F74"/>
    <w:rsid w:val="0083680B"/>
    <w:rsid w:val="00837179"/>
    <w:rsid w:val="008519F6"/>
    <w:rsid w:val="00851B33"/>
    <w:rsid w:val="00852A24"/>
    <w:rsid w:val="00872E4C"/>
    <w:rsid w:val="00875C6E"/>
    <w:rsid w:val="00876F62"/>
    <w:rsid w:val="00882951"/>
    <w:rsid w:val="00884579"/>
    <w:rsid w:val="008849EE"/>
    <w:rsid w:val="00885B0D"/>
    <w:rsid w:val="008949A9"/>
    <w:rsid w:val="00897EC0"/>
    <w:rsid w:val="008A08AF"/>
    <w:rsid w:val="008B3954"/>
    <w:rsid w:val="008C66E9"/>
    <w:rsid w:val="008D546F"/>
    <w:rsid w:val="008D7F16"/>
    <w:rsid w:val="008E1226"/>
    <w:rsid w:val="008F1878"/>
    <w:rsid w:val="008F6C09"/>
    <w:rsid w:val="009060B0"/>
    <w:rsid w:val="00907C9A"/>
    <w:rsid w:val="00910A59"/>
    <w:rsid w:val="009276CD"/>
    <w:rsid w:val="009365F8"/>
    <w:rsid w:val="00941223"/>
    <w:rsid w:val="00943629"/>
    <w:rsid w:val="00946662"/>
    <w:rsid w:val="00950AAD"/>
    <w:rsid w:val="00953039"/>
    <w:rsid w:val="00955E0F"/>
    <w:rsid w:val="009675A9"/>
    <w:rsid w:val="00975B08"/>
    <w:rsid w:val="00975C14"/>
    <w:rsid w:val="00983103"/>
    <w:rsid w:val="00993743"/>
    <w:rsid w:val="009A6676"/>
    <w:rsid w:val="009B5BB6"/>
    <w:rsid w:val="009D116B"/>
    <w:rsid w:val="009D2C1E"/>
    <w:rsid w:val="009D50BD"/>
    <w:rsid w:val="009E2917"/>
    <w:rsid w:val="009E530E"/>
    <w:rsid w:val="009E750C"/>
    <w:rsid w:val="009F1116"/>
    <w:rsid w:val="009F6205"/>
    <w:rsid w:val="00A148AB"/>
    <w:rsid w:val="00A366F6"/>
    <w:rsid w:val="00A426B3"/>
    <w:rsid w:val="00A45605"/>
    <w:rsid w:val="00A46610"/>
    <w:rsid w:val="00A5171D"/>
    <w:rsid w:val="00A53438"/>
    <w:rsid w:val="00A618B0"/>
    <w:rsid w:val="00A63460"/>
    <w:rsid w:val="00A704CF"/>
    <w:rsid w:val="00A73FFF"/>
    <w:rsid w:val="00A74260"/>
    <w:rsid w:val="00A840FD"/>
    <w:rsid w:val="00A87138"/>
    <w:rsid w:val="00A87285"/>
    <w:rsid w:val="00A924C6"/>
    <w:rsid w:val="00AA40F5"/>
    <w:rsid w:val="00AB66E9"/>
    <w:rsid w:val="00AC11FA"/>
    <w:rsid w:val="00AC2568"/>
    <w:rsid w:val="00AC4133"/>
    <w:rsid w:val="00AD2AC8"/>
    <w:rsid w:val="00AD5FA6"/>
    <w:rsid w:val="00AD783A"/>
    <w:rsid w:val="00AD7F88"/>
    <w:rsid w:val="00AF4ADB"/>
    <w:rsid w:val="00B067E0"/>
    <w:rsid w:val="00B21432"/>
    <w:rsid w:val="00B3377A"/>
    <w:rsid w:val="00B34644"/>
    <w:rsid w:val="00B47BFA"/>
    <w:rsid w:val="00B5263A"/>
    <w:rsid w:val="00B56E00"/>
    <w:rsid w:val="00B61BBB"/>
    <w:rsid w:val="00B62466"/>
    <w:rsid w:val="00B624FD"/>
    <w:rsid w:val="00B6789E"/>
    <w:rsid w:val="00B700A3"/>
    <w:rsid w:val="00B70E28"/>
    <w:rsid w:val="00B71AF2"/>
    <w:rsid w:val="00B90481"/>
    <w:rsid w:val="00B97664"/>
    <w:rsid w:val="00BA322E"/>
    <w:rsid w:val="00BC3E16"/>
    <w:rsid w:val="00BC50D6"/>
    <w:rsid w:val="00BC65C9"/>
    <w:rsid w:val="00BC78CB"/>
    <w:rsid w:val="00BE6DC3"/>
    <w:rsid w:val="00C00E7D"/>
    <w:rsid w:val="00C02E97"/>
    <w:rsid w:val="00C10687"/>
    <w:rsid w:val="00C111CE"/>
    <w:rsid w:val="00C15209"/>
    <w:rsid w:val="00C21BDE"/>
    <w:rsid w:val="00C23AAD"/>
    <w:rsid w:val="00C24AB6"/>
    <w:rsid w:val="00C30393"/>
    <w:rsid w:val="00C37655"/>
    <w:rsid w:val="00C37866"/>
    <w:rsid w:val="00C41B14"/>
    <w:rsid w:val="00C47EA3"/>
    <w:rsid w:val="00C5164E"/>
    <w:rsid w:val="00C51C58"/>
    <w:rsid w:val="00C55708"/>
    <w:rsid w:val="00C5601A"/>
    <w:rsid w:val="00C74563"/>
    <w:rsid w:val="00C87D2F"/>
    <w:rsid w:val="00C96944"/>
    <w:rsid w:val="00CA154C"/>
    <w:rsid w:val="00CA445F"/>
    <w:rsid w:val="00CA6585"/>
    <w:rsid w:val="00CC138E"/>
    <w:rsid w:val="00CC3C0E"/>
    <w:rsid w:val="00CD4D32"/>
    <w:rsid w:val="00CE4A86"/>
    <w:rsid w:val="00CE5E07"/>
    <w:rsid w:val="00CF0776"/>
    <w:rsid w:val="00D0031A"/>
    <w:rsid w:val="00D138CB"/>
    <w:rsid w:val="00D216D8"/>
    <w:rsid w:val="00D242DB"/>
    <w:rsid w:val="00D304D4"/>
    <w:rsid w:val="00D44ECC"/>
    <w:rsid w:val="00D46C88"/>
    <w:rsid w:val="00D508FD"/>
    <w:rsid w:val="00D52A3B"/>
    <w:rsid w:val="00D53A2C"/>
    <w:rsid w:val="00D54066"/>
    <w:rsid w:val="00D5439C"/>
    <w:rsid w:val="00D61D1D"/>
    <w:rsid w:val="00D65E7E"/>
    <w:rsid w:val="00D70B86"/>
    <w:rsid w:val="00D850CB"/>
    <w:rsid w:val="00D94086"/>
    <w:rsid w:val="00D978AD"/>
    <w:rsid w:val="00DA557B"/>
    <w:rsid w:val="00DA728F"/>
    <w:rsid w:val="00DB127D"/>
    <w:rsid w:val="00DB7500"/>
    <w:rsid w:val="00DC310D"/>
    <w:rsid w:val="00DC3376"/>
    <w:rsid w:val="00DC377C"/>
    <w:rsid w:val="00DD00BA"/>
    <w:rsid w:val="00DD02B1"/>
    <w:rsid w:val="00DD5063"/>
    <w:rsid w:val="00DE1ECF"/>
    <w:rsid w:val="00DE58D4"/>
    <w:rsid w:val="00DE688F"/>
    <w:rsid w:val="00DF04B3"/>
    <w:rsid w:val="00DF1CCD"/>
    <w:rsid w:val="00DF1F9C"/>
    <w:rsid w:val="00DF5283"/>
    <w:rsid w:val="00DF5D72"/>
    <w:rsid w:val="00E01978"/>
    <w:rsid w:val="00E05DA4"/>
    <w:rsid w:val="00E060BA"/>
    <w:rsid w:val="00E06D2D"/>
    <w:rsid w:val="00E134DD"/>
    <w:rsid w:val="00E147CF"/>
    <w:rsid w:val="00E21258"/>
    <w:rsid w:val="00E22B2B"/>
    <w:rsid w:val="00E25053"/>
    <w:rsid w:val="00E352F5"/>
    <w:rsid w:val="00E3631F"/>
    <w:rsid w:val="00E3740D"/>
    <w:rsid w:val="00E451B8"/>
    <w:rsid w:val="00E45F3E"/>
    <w:rsid w:val="00E641EE"/>
    <w:rsid w:val="00E65693"/>
    <w:rsid w:val="00E73D33"/>
    <w:rsid w:val="00E742BC"/>
    <w:rsid w:val="00E76085"/>
    <w:rsid w:val="00E80AF4"/>
    <w:rsid w:val="00E87D8D"/>
    <w:rsid w:val="00E922B1"/>
    <w:rsid w:val="00E92C60"/>
    <w:rsid w:val="00E970E9"/>
    <w:rsid w:val="00E978D6"/>
    <w:rsid w:val="00EA2A92"/>
    <w:rsid w:val="00EA526E"/>
    <w:rsid w:val="00EA7637"/>
    <w:rsid w:val="00EB42F7"/>
    <w:rsid w:val="00EB4AD6"/>
    <w:rsid w:val="00EB63E6"/>
    <w:rsid w:val="00EB7529"/>
    <w:rsid w:val="00EC0409"/>
    <w:rsid w:val="00EC1891"/>
    <w:rsid w:val="00EC5BC8"/>
    <w:rsid w:val="00EC71C2"/>
    <w:rsid w:val="00ED2120"/>
    <w:rsid w:val="00EE449E"/>
    <w:rsid w:val="00EE730F"/>
    <w:rsid w:val="00F015E5"/>
    <w:rsid w:val="00F241DA"/>
    <w:rsid w:val="00F42775"/>
    <w:rsid w:val="00F47C9F"/>
    <w:rsid w:val="00F5164C"/>
    <w:rsid w:val="00F579A8"/>
    <w:rsid w:val="00F6469E"/>
    <w:rsid w:val="00F64E1C"/>
    <w:rsid w:val="00F64FB6"/>
    <w:rsid w:val="00F67613"/>
    <w:rsid w:val="00F73595"/>
    <w:rsid w:val="00F75DD7"/>
    <w:rsid w:val="00F75F39"/>
    <w:rsid w:val="00F764B2"/>
    <w:rsid w:val="00F76D7E"/>
    <w:rsid w:val="00F83B6B"/>
    <w:rsid w:val="00F85A78"/>
    <w:rsid w:val="00F92B3C"/>
    <w:rsid w:val="00F93AD7"/>
    <w:rsid w:val="00F94B67"/>
    <w:rsid w:val="00FA248F"/>
    <w:rsid w:val="00FA6F48"/>
    <w:rsid w:val="00FB328F"/>
    <w:rsid w:val="00FB5DAC"/>
    <w:rsid w:val="00FC6FFE"/>
    <w:rsid w:val="00FD48D2"/>
    <w:rsid w:val="00FD686A"/>
    <w:rsid w:val="00FE63AF"/>
    <w:rsid w:val="00FE6C07"/>
    <w:rsid w:val="00FF051C"/>
    <w:rsid w:val="00FF3D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A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28"/>
    <w:pPr>
      <w:spacing w:after="0" w:line="240" w:lineRule="auto"/>
    </w:pPr>
    <w:rPr>
      <w:rFonts w:eastAsia="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394FA7"/>
    <w:pPr>
      <w:tabs>
        <w:tab w:val="left" w:pos="360"/>
      </w:tabs>
      <w:ind w:firstLine="360"/>
    </w:pPr>
  </w:style>
  <w:style w:type="character" w:customStyle="1" w:styleId="BodyTextIndentChar">
    <w:name w:val="Body Text Indent Char"/>
    <w:basedOn w:val="DefaultParagraphFont"/>
    <w:uiPriority w:val="99"/>
    <w:semiHidden/>
    <w:rsid w:val="00394FA7"/>
    <w:rPr>
      <w:rFonts w:eastAsia="Times New Roman"/>
      <w:szCs w:val="24"/>
      <w:lang w:val="en-US"/>
    </w:rPr>
  </w:style>
  <w:style w:type="character" w:customStyle="1" w:styleId="BodyTextIndentChar1">
    <w:name w:val="Body Text Indent Char1"/>
    <w:basedOn w:val="DefaultParagraphFont"/>
    <w:link w:val="BodyTextIndent"/>
    <w:rsid w:val="00394FA7"/>
    <w:rPr>
      <w:rFonts w:eastAsia="Times New Roman"/>
      <w:szCs w:val="24"/>
      <w:lang w:val="en-US"/>
    </w:rPr>
  </w:style>
  <w:style w:type="paragraph" w:styleId="FootnoteText">
    <w:name w:val="footnote text"/>
    <w:aliases w:val="ft"/>
    <w:basedOn w:val="Normal"/>
    <w:link w:val="FootnoteTextChar"/>
    <w:rsid w:val="00394FA7"/>
    <w:rPr>
      <w:szCs w:val="20"/>
    </w:rPr>
  </w:style>
  <w:style w:type="character" w:customStyle="1" w:styleId="FootnoteTextChar">
    <w:name w:val="Footnote Text Char"/>
    <w:aliases w:val="ft Char"/>
    <w:basedOn w:val="DefaultParagraphFont"/>
    <w:link w:val="FootnoteText"/>
    <w:rsid w:val="00394FA7"/>
    <w:rPr>
      <w:rFonts w:eastAsia="Times New Roman"/>
      <w:lang w:val="en-US"/>
    </w:rPr>
  </w:style>
  <w:style w:type="character" w:styleId="FootnoteReference">
    <w:name w:val="footnote reference"/>
    <w:aliases w:val="fr"/>
    <w:basedOn w:val="DefaultParagraphFont"/>
    <w:rsid w:val="00394FA7"/>
    <w:rPr>
      <w:vertAlign w:val="superscript"/>
    </w:rPr>
  </w:style>
  <w:style w:type="table" w:customStyle="1" w:styleId="TableauNorm2">
    <w:name w:val="Tableau Norm2"/>
    <w:uiPriority w:val="99"/>
    <w:semiHidden/>
    <w:rsid w:val="00394FA7"/>
    <w:pPr>
      <w:spacing w:after="0" w:line="240" w:lineRule="auto"/>
    </w:pPr>
    <w:rPr>
      <w:rFonts w:ascii="Calibri" w:eastAsia="Calibri" w:hAnsi="Calibri"/>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403F"/>
    <w:rPr>
      <w:rFonts w:ascii="Tahoma" w:hAnsi="Tahoma" w:cs="Tahoma"/>
      <w:sz w:val="16"/>
      <w:szCs w:val="16"/>
    </w:rPr>
  </w:style>
  <w:style w:type="character" w:customStyle="1" w:styleId="BalloonTextChar">
    <w:name w:val="Balloon Text Char"/>
    <w:basedOn w:val="DefaultParagraphFont"/>
    <w:link w:val="BalloonText"/>
    <w:uiPriority w:val="99"/>
    <w:semiHidden/>
    <w:rsid w:val="0008403F"/>
    <w:rPr>
      <w:rFonts w:ascii="Tahoma" w:eastAsia="Times New Roman" w:hAnsi="Tahoma" w:cs="Tahoma"/>
      <w:sz w:val="16"/>
      <w:szCs w:val="16"/>
      <w:lang w:val="en-US"/>
    </w:rPr>
  </w:style>
  <w:style w:type="paragraph" w:styleId="Header">
    <w:name w:val="header"/>
    <w:basedOn w:val="Normal"/>
    <w:link w:val="HeaderChar"/>
    <w:uiPriority w:val="99"/>
    <w:unhideWhenUsed/>
    <w:rsid w:val="00B70E28"/>
    <w:pPr>
      <w:tabs>
        <w:tab w:val="center" w:pos="4536"/>
        <w:tab w:val="right" w:pos="9072"/>
      </w:tabs>
    </w:pPr>
  </w:style>
  <w:style w:type="character" w:customStyle="1" w:styleId="HeaderChar">
    <w:name w:val="Header Char"/>
    <w:basedOn w:val="DefaultParagraphFont"/>
    <w:link w:val="Header"/>
    <w:uiPriority w:val="99"/>
    <w:rsid w:val="00CA445F"/>
    <w:rPr>
      <w:rFonts w:eastAsia="Times New Roman"/>
      <w:szCs w:val="24"/>
      <w:lang w:val="en-US"/>
    </w:rPr>
  </w:style>
  <w:style w:type="paragraph" w:styleId="Footer">
    <w:name w:val="footer"/>
    <w:basedOn w:val="Normal"/>
    <w:link w:val="FooterChar"/>
    <w:uiPriority w:val="99"/>
    <w:unhideWhenUsed/>
    <w:rsid w:val="00B70E28"/>
    <w:pPr>
      <w:tabs>
        <w:tab w:val="center" w:pos="4536"/>
        <w:tab w:val="right" w:pos="9072"/>
      </w:tabs>
    </w:pPr>
  </w:style>
  <w:style w:type="character" w:customStyle="1" w:styleId="FooterChar">
    <w:name w:val="Footer Char"/>
    <w:basedOn w:val="DefaultParagraphFont"/>
    <w:link w:val="Footer"/>
    <w:uiPriority w:val="99"/>
    <w:rsid w:val="00CA445F"/>
    <w:rPr>
      <w:rFonts w:eastAsia="Times New Roman"/>
      <w:szCs w:val="24"/>
      <w:lang w:val="en-US"/>
    </w:rPr>
  </w:style>
  <w:style w:type="character" w:styleId="CommentReference">
    <w:name w:val="annotation reference"/>
    <w:basedOn w:val="DefaultParagraphFont"/>
    <w:uiPriority w:val="99"/>
    <w:semiHidden/>
    <w:unhideWhenUsed/>
    <w:rsid w:val="00296510"/>
    <w:rPr>
      <w:sz w:val="16"/>
      <w:szCs w:val="16"/>
    </w:rPr>
  </w:style>
  <w:style w:type="paragraph" w:styleId="CommentText">
    <w:name w:val="annotation text"/>
    <w:basedOn w:val="Normal"/>
    <w:link w:val="CommentTextChar"/>
    <w:uiPriority w:val="99"/>
    <w:semiHidden/>
    <w:unhideWhenUsed/>
    <w:rsid w:val="00B70E28"/>
    <w:rPr>
      <w:szCs w:val="20"/>
    </w:rPr>
  </w:style>
  <w:style w:type="character" w:customStyle="1" w:styleId="CommentTextChar">
    <w:name w:val="Comment Text Char"/>
    <w:basedOn w:val="DefaultParagraphFont"/>
    <w:link w:val="CommentText"/>
    <w:uiPriority w:val="99"/>
    <w:semiHidden/>
    <w:rsid w:val="00296510"/>
    <w:rPr>
      <w:rFonts w:eastAsia="Times New Roman"/>
      <w:lang w:val="en-US"/>
    </w:rPr>
  </w:style>
  <w:style w:type="paragraph" w:styleId="CommentSubject">
    <w:name w:val="annotation subject"/>
    <w:basedOn w:val="CommentText"/>
    <w:next w:val="CommentText"/>
    <w:link w:val="CommentSubjectChar"/>
    <w:uiPriority w:val="99"/>
    <w:semiHidden/>
    <w:unhideWhenUsed/>
    <w:rsid w:val="00B70E28"/>
    <w:rPr>
      <w:b/>
      <w:bCs/>
    </w:rPr>
  </w:style>
  <w:style w:type="character" w:customStyle="1" w:styleId="CommentSubjectChar">
    <w:name w:val="Comment Subject Char"/>
    <w:basedOn w:val="CommentTextChar"/>
    <w:link w:val="CommentSubject"/>
    <w:uiPriority w:val="99"/>
    <w:semiHidden/>
    <w:rsid w:val="00296510"/>
    <w:rPr>
      <w:rFonts w:eastAsia="Times New Roman"/>
      <w:b/>
      <w:bCs/>
      <w:lang w:val="en-US"/>
    </w:rPr>
  </w:style>
  <w:style w:type="paragraph" w:styleId="Revision">
    <w:name w:val="Revision"/>
    <w:hidden/>
    <w:uiPriority w:val="99"/>
    <w:semiHidden/>
    <w:rsid w:val="006278FF"/>
    <w:pPr>
      <w:spacing w:after="0" w:line="240" w:lineRule="auto"/>
    </w:pPr>
    <w:rPr>
      <w:rFonts w:eastAsia="Times New Roman"/>
      <w:szCs w:val="24"/>
      <w:lang w:val="en-US"/>
    </w:rPr>
  </w:style>
  <w:style w:type="paragraph" w:styleId="ListParagraph">
    <w:name w:val="List Paragraph"/>
    <w:basedOn w:val="Normal"/>
    <w:uiPriority w:val="34"/>
    <w:qFormat/>
    <w:rsid w:val="00B70E28"/>
    <w:pPr>
      <w:spacing w:after="200" w:line="276" w:lineRule="auto"/>
      <w:ind w:left="720"/>
    </w:pPr>
    <w:rPr>
      <w:rFonts w:ascii="Calibri" w:eastAsia="Calibri" w:hAnsi="Calibri"/>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28"/>
    <w:pPr>
      <w:spacing w:after="0" w:line="240" w:lineRule="auto"/>
    </w:pPr>
    <w:rPr>
      <w:rFonts w:eastAsia="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394FA7"/>
    <w:pPr>
      <w:tabs>
        <w:tab w:val="left" w:pos="360"/>
      </w:tabs>
      <w:ind w:firstLine="360"/>
    </w:pPr>
  </w:style>
  <w:style w:type="character" w:customStyle="1" w:styleId="BodyTextIndentChar">
    <w:name w:val="Body Text Indent Char"/>
    <w:basedOn w:val="DefaultParagraphFont"/>
    <w:uiPriority w:val="99"/>
    <w:semiHidden/>
    <w:rsid w:val="00394FA7"/>
    <w:rPr>
      <w:rFonts w:eastAsia="Times New Roman"/>
      <w:szCs w:val="24"/>
      <w:lang w:val="en-US"/>
    </w:rPr>
  </w:style>
  <w:style w:type="character" w:customStyle="1" w:styleId="BodyTextIndentChar1">
    <w:name w:val="Body Text Indent Char1"/>
    <w:basedOn w:val="DefaultParagraphFont"/>
    <w:link w:val="BodyTextIndent"/>
    <w:rsid w:val="00394FA7"/>
    <w:rPr>
      <w:rFonts w:eastAsia="Times New Roman"/>
      <w:szCs w:val="24"/>
      <w:lang w:val="en-US"/>
    </w:rPr>
  </w:style>
  <w:style w:type="paragraph" w:styleId="FootnoteText">
    <w:name w:val="footnote text"/>
    <w:aliases w:val="ft"/>
    <w:basedOn w:val="Normal"/>
    <w:link w:val="FootnoteTextChar"/>
    <w:rsid w:val="00394FA7"/>
    <w:rPr>
      <w:szCs w:val="20"/>
    </w:rPr>
  </w:style>
  <w:style w:type="character" w:customStyle="1" w:styleId="FootnoteTextChar">
    <w:name w:val="Footnote Text Char"/>
    <w:aliases w:val="ft Char"/>
    <w:basedOn w:val="DefaultParagraphFont"/>
    <w:link w:val="FootnoteText"/>
    <w:rsid w:val="00394FA7"/>
    <w:rPr>
      <w:rFonts w:eastAsia="Times New Roman"/>
      <w:lang w:val="en-US"/>
    </w:rPr>
  </w:style>
  <w:style w:type="character" w:styleId="FootnoteReference">
    <w:name w:val="footnote reference"/>
    <w:aliases w:val="fr"/>
    <w:basedOn w:val="DefaultParagraphFont"/>
    <w:rsid w:val="00394FA7"/>
    <w:rPr>
      <w:vertAlign w:val="superscript"/>
    </w:rPr>
  </w:style>
  <w:style w:type="table" w:customStyle="1" w:styleId="TableauNorm2">
    <w:name w:val="Tableau Norm2"/>
    <w:uiPriority w:val="99"/>
    <w:semiHidden/>
    <w:rsid w:val="00394FA7"/>
    <w:pPr>
      <w:spacing w:after="0" w:line="240" w:lineRule="auto"/>
    </w:pPr>
    <w:rPr>
      <w:rFonts w:ascii="Calibri" w:eastAsia="Calibri" w:hAnsi="Calibri"/>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403F"/>
    <w:rPr>
      <w:rFonts w:ascii="Tahoma" w:hAnsi="Tahoma" w:cs="Tahoma"/>
      <w:sz w:val="16"/>
      <w:szCs w:val="16"/>
    </w:rPr>
  </w:style>
  <w:style w:type="character" w:customStyle="1" w:styleId="BalloonTextChar">
    <w:name w:val="Balloon Text Char"/>
    <w:basedOn w:val="DefaultParagraphFont"/>
    <w:link w:val="BalloonText"/>
    <w:uiPriority w:val="99"/>
    <w:semiHidden/>
    <w:rsid w:val="0008403F"/>
    <w:rPr>
      <w:rFonts w:ascii="Tahoma" w:eastAsia="Times New Roman" w:hAnsi="Tahoma" w:cs="Tahoma"/>
      <w:sz w:val="16"/>
      <w:szCs w:val="16"/>
      <w:lang w:val="en-US"/>
    </w:rPr>
  </w:style>
  <w:style w:type="paragraph" w:styleId="Header">
    <w:name w:val="header"/>
    <w:basedOn w:val="Normal"/>
    <w:link w:val="HeaderChar"/>
    <w:uiPriority w:val="99"/>
    <w:unhideWhenUsed/>
    <w:rsid w:val="00B70E28"/>
    <w:pPr>
      <w:tabs>
        <w:tab w:val="center" w:pos="4536"/>
        <w:tab w:val="right" w:pos="9072"/>
      </w:tabs>
    </w:pPr>
  </w:style>
  <w:style w:type="character" w:customStyle="1" w:styleId="HeaderChar">
    <w:name w:val="Header Char"/>
    <w:basedOn w:val="DefaultParagraphFont"/>
    <w:link w:val="Header"/>
    <w:uiPriority w:val="99"/>
    <w:rsid w:val="00CA445F"/>
    <w:rPr>
      <w:rFonts w:eastAsia="Times New Roman"/>
      <w:szCs w:val="24"/>
      <w:lang w:val="en-US"/>
    </w:rPr>
  </w:style>
  <w:style w:type="paragraph" w:styleId="Footer">
    <w:name w:val="footer"/>
    <w:basedOn w:val="Normal"/>
    <w:link w:val="FooterChar"/>
    <w:uiPriority w:val="99"/>
    <w:unhideWhenUsed/>
    <w:rsid w:val="00B70E28"/>
    <w:pPr>
      <w:tabs>
        <w:tab w:val="center" w:pos="4536"/>
        <w:tab w:val="right" w:pos="9072"/>
      </w:tabs>
    </w:pPr>
  </w:style>
  <w:style w:type="character" w:customStyle="1" w:styleId="FooterChar">
    <w:name w:val="Footer Char"/>
    <w:basedOn w:val="DefaultParagraphFont"/>
    <w:link w:val="Footer"/>
    <w:uiPriority w:val="99"/>
    <w:rsid w:val="00CA445F"/>
    <w:rPr>
      <w:rFonts w:eastAsia="Times New Roman"/>
      <w:szCs w:val="24"/>
      <w:lang w:val="en-US"/>
    </w:rPr>
  </w:style>
  <w:style w:type="character" w:styleId="CommentReference">
    <w:name w:val="annotation reference"/>
    <w:basedOn w:val="DefaultParagraphFont"/>
    <w:uiPriority w:val="99"/>
    <w:semiHidden/>
    <w:unhideWhenUsed/>
    <w:rsid w:val="00296510"/>
    <w:rPr>
      <w:sz w:val="16"/>
      <w:szCs w:val="16"/>
    </w:rPr>
  </w:style>
  <w:style w:type="paragraph" w:styleId="CommentText">
    <w:name w:val="annotation text"/>
    <w:basedOn w:val="Normal"/>
    <w:link w:val="CommentTextChar"/>
    <w:uiPriority w:val="99"/>
    <w:semiHidden/>
    <w:unhideWhenUsed/>
    <w:rsid w:val="00B70E28"/>
    <w:rPr>
      <w:szCs w:val="20"/>
    </w:rPr>
  </w:style>
  <w:style w:type="character" w:customStyle="1" w:styleId="CommentTextChar">
    <w:name w:val="Comment Text Char"/>
    <w:basedOn w:val="DefaultParagraphFont"/>
    <w:link w:val="CommentText"/>
    <w:uiPriority w:val="99"/>
    <w:semiHidden/>
    <w:rsid w:val="00296510"/>
    <w:rPr>
      <w:rFonts w:eastAsia="Times New Roman"/>
      <w:lang w:val="en-US"/>
    </w:rPr>
  </w:style>
  <w:style w:type="paragraph" w:styleId="CommentSubject">
    <w:name w:val="annotation subject"/>
    <w:basedOn w:val="CommentText"/>
    <w:next w:val="CommentText"/>
    <w:link w:val="CommentSubjectChar"/>
    <w:uiPriority w:val="99"/>
    <w:semiHidden/>
    <w:unhideWhenUsed/>
    <w:rsid w:val="00B70E28"/>
    <w:rPr>
      <w:b/>
      <w:bCs/>
    </w:rPr>
  </w:style>
  <w:style w:type="character" w:customStyle="1" w:styleId="CommentSubjectChar">
    <w:name w:val="Comment Subject Char"/>
    <w:basedOn w:val="CommentTextChar"/>
    <w:link w:val="CommentSubject"/>
    <w:uiPriority w:val="99"/>
    <w:semiHidden/>
    <w:rsid w:val="00296510"/>
    <w:rPr>
      <w:rFonts w:eastAsia="Times New Roman"/>
      <w:b/>
      <w:bCs/>
      <w:lang w:val="en-US"/>
    </w:rPr>
  </w:style>
  <w:style w:type="paragraph" w:styleId="Revision">
    <w:name w:val="Revision"/>
    <w:hidden/>
    <w:uiPriority w:val="99"/>
    <w:semiHidden/>
    <w:rsid w:val="006278FF"/>
    <w:pPr>
      <w:spacing w:after="0" w:line="240" w:lineRule="auto"/>
    </w:pPr>
    <w:rPr>
      <w:rFonts w:eastAsia="Times New Roman"/>
      <w:szCs w:val="24"/>
      <w:lang w:val="en-US"/>
    </w:rPr>
  </w:style>
  <w:style w:type="paragraph" w:styleId="ListParagraph">
    <w:name w:val="List Paragraph"/>
    <w:basedOn w:val="Normal"/>
    <w:uiPriority w:val="34"/>
    <w:qFormat/>
    <w:rsid w:val="00B70E28"/>
    <w:pPr>
      <w:spacing w:after="200" w:line="276" w:lineRule="auto"/>
      <w:ind w:left="720"/>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3CE80-4F07-4AE7-BA24-5A36E672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717</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Campoy</dc:creator>
  <cp:lastModifiedBy>Rebecca Campoy</cp:lastModifiedBy>
  <cp:revision>45</cp:revision>
  <cp:lastPrinted>2015-11-24T09:04:00Z</cp:lastPrinted>
  <dcterms:created xsi:type="dcterms:W3CDTF">2015-11-13T16:08:00Z</dcterms:created>
  <dcterms:modified xsi:type="dcterms:W3CDTF">2015-11-24T09:04:00Z</dcterms:modified>
</cp:coreProperties>
</file>