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9173"/>
      </w:tblGrid>
      <w:tr w:rsidR="005218A2" w:rsidRPr="00EB581D" w14:paraId="663D8A72" w14:textId="77777777" w:rsidTr="00BB2693">
        <w:trPr>
          <w:trHeight w:val="698"/>
        </w:trPr>
        <w:tc>
          <w:tcPr>
            <w:tcW w:w="9173" w:type="dxa"/>
          </w:tcPr>
          <w:p w14:paraId="070D6899" w14:textId="35924418" w:rsidR="005C5609" w:rsidRPr="00EB581D" w:rsidRDefault="005C5609" w:rsidP="00EA7F89">
            <w:pPr>
              <w:jc w:val="center"/>
              <w:rPr>
                <w:rFonts w:ascii="Times New Roman" w:hAnsi="Times New Roman" w:cs="Times New Roman"/>
                <w:b/>
                <w:sz w:val="20"/>
                <w:szCs w:val="20"/>
              </w:rPr>
            </w:pPr>
            <w:r w:rsidRPr="00EB581D">
              <w:rPr>
                <w:rFonts w:ascii="Times New Roman" w:hAnsi="Times New Roman" w:cs="Times New Roman"/>
                <w:b/>
                <w:sz w:val="20"/>
                <w:szCs w:val="20"/>
              </w:rPr>
              <w:t>15-</w:t>
            </w:r>
            <w:r w:rsidR="006823EB">
              <w:rPr>
                <w:rFonts w:ascii="Times New Roman" w:hAnsi="Times New Roman" w:cs="Times New Roman"/>
                <w:b/>
                <w:sz w:val="20"/>
                <w:szCs w:val="20"/>
              </w:rPr>
              <w:t>07</w:t>
            </w:r>
            <w:r w:rsidR="00BB2693" w:rsidRPr="00EB581D">
              <w:rPr>
                <w:rFonts w:ascii="Times New Roman" w:hAnsi="Times New Roman" w:cs="Times New Roman"/>
                <w:b/>
                <w:sz w:val="20"/>
                <w:szCs w:val="20"/>
              </w:rPr>
              <w:t xml:space="preserve">                                        </w:t>
            </w:r>
            <w:r w:rsidR="00EB581D">
              <w:rPr>
                <w:rFonts w:ascii="Times New Roman" w:hAnsi="Times New Roman" w:cs="Times New Roman"/>
                <w:b/>
                <w:sz w:val="20"/>
                <w:szCs w:val="20"/>
              </w:rPr>
              <w:t xml:space="preserve">                              </w:t>
            </w:r>
            <w:r w:rsidR="00BB2693" w:rsidRPr="00EB581D">
              <w:rPr>
                <w:rFonts w:ascii="Times New Roman" w:hAnsi="Times New Roman" w:cs="Times New Roman"/>
                <w:b/>
                <w:sz w:val="20"/>
                <w:szCs w:val="20"/>
              </w:rPr>
              <w:t xml:space="preserve">                                                                                      </w:t>
            </w:r>
            <w:r w:rsidR="006823EB">
              <w:rPr>
                <w:rFonts w:ascii="Times New Roman" w:hAnsi="Times New Roman" w:cs="Times New Roman"/>
                <w:b/>
                <w:sz w:val="20"/>
                <w:szCs w:val="20"/>
              </w:rPr>
              <w:t>GEN</w:t>
            </w:r>
            <w:bookmarkStart w:id="0" w:name="_GoBack"/>
            <w:bookmarkEnd w:id="0"/>
          </w:p>
          <w:p w14:paraId="07421840" w14:textId="77777777" w:rsidR="005C5609" w:rsidRPr="00EB581D" w:rsidRDefault="005218A2" w:rsidP="005C5609">
            <w:pPr>
              <w:jc w:val="center"/>
              <w:rPr>
                <w:rFonts w:ascii="Times New Roman" w:hAnsi="Times New Roman" w:cs="Times New Roman"/>
                <w:b/>
                <w:sz w:val="20"/>
                <w:szCs w:val="20"/>
              </w:rPr>
            </w:pPr>
            <w:r w:rsidRPr="00EB581D">
              <w:rPr>
                <w:rFonts w:ascii="Times New Roman" w:hAnsi="Times New Roman" w:cs="Times New Roman"/>
                <w:b/>
                <w:sz w:val="20"/>
                <w:szCs w:val="20"/>
              </w:rPr>
              <w:t xml:space="preserve">RECOMMENDATION BY ICCAT ON THE DEVELOPMENT OF </w:t>
            </w:r>
          </w:p>
          <w:p w14:paraId="0C424AD5" w14:textId="0DA8FA90" w:rsidR="005218A2" w:rsidRPr="00EB581D" w:rsidRDefault="005218A2" w:rsidP="005C5609">
            <w:pPr>
              <w:jc w:val="center"/>
              <w:rPr>
                <w:rFonts w:ascii="Times New Roman" w:hAnsi="Times New Roman" w:cs="Times New Roman"/>
                <w:b/>
                <w:sz w:val="20"/>
                <w:szCs w:val="20"/>
              </w:rPr>
            </w:pPr>
            <w:r w:rsidRPr="00EB581D">
              <w:rPr>
                <w:rFonts w:ascii="Times New Roman" w:hAnsi="Times New Roman" w:cs="Times New Roman"/>
                <w:b/>
                <w:sz w:val="20"/>
                <w:szCs w:val="20"/>
              </w:rPr>
              <w:t>HARVEST CONTROL RULES AND OF MANAGEMENT STRATEGY EVALUATION</w:t>
            </w:r>
          </w:p>
        </w:tc>
      </w:tr>
      <w:tr w:rsidR="00BB2693" w:rsidRPr="00EB581D" w14:paraId="2D42F0B1" w14:textId="77777777" w:rsidTr="00EB581D">
        <w:trPr>
          <w:trHeight w:val="55"/>
        </w:trPr>
        <w:tc>
          <w:tcPr>
            <w:tcW w:w="9173" w:type="dxa"/>
          </w:tcPr>
          <w:p w14:paraId="75432DDA" w14:textId="77777777" w:rsidR="00BB2693" w:rsidRPr="00EB581D" w:rsidRDefault="00BB2693" w:rsidP="00EA7F89">
            <w:pPr>
              <w:jc w:val="center"/>
              <w:rPr>
                <w:rFonts w:ascii="Times New Roman" w:hAnsi="Times New Roman" w:cs="Times New Roman"/>
                <w:b/>
                <w:sz w:val="20"/>
                <w:szCs w:val="20"/>
              </w:rPr>
            </w:pPr>
          </w:p>
        </w:tc>
      </w:tr>
    </w:tbl>
    <w:p w14:paraId="443D0F12" w14:textId="4F19F8BD" w:rsidR="005C5609" w:rsidRPr="00EB581D" w:rsidRDefault="005218A2" w:rsidP="005218A2">
      <w:pPr>
        <w:tabs>
          <w:tab w:val="left" w:pos="284"/>
        </w:tabs>
        <w:spacing w:after="0" w:line="240" w:lineRule="auto"/>
        <w:jc w:val="both"/>
        <w:rPr>
          <w:rFonts w:ascii="Times New Roman" w:hAnsi="Times New Roman" w:cs="Times New Roman"/>
          <w:i/>
          <w:sz w:val="20"/>
          <w:szCs w:val="20"/>
        </w:rPr>
      </w:pPr>
      <w:r w:rsidRPr="00EB581D">
        <w:rPr>
          <w:rFonts w:ascii="Times New Roman" w:hAnsi="Times New Roman" w:cs="Times New Roman"/>
          <w:i/>
          <w:sz w:val="20"/>
          <w:szCs w:val="20"/>
        </w:rPr>
        <w:tab/>
      </w:r>
    </w:p>
    <w:p w14:paraId="3268458D" w14:textId="77777777" w:rsidR="00BB2693" w:rsidRPr="00EB581D" w:rsidRDefault="00BB2693" w:rsidP="005218A2">
      <w:pPr>
        <w:tabs>
          <w:tab w:val="left" w:pos="284"/>
        </w:tabs>
        <w:spacing w:after="0" w:line="240" w:lineRule="auto"/>
        <w:jc w:val="both"/>
        <w:rPr>
          <w:rFonts w:ascii="Times New Roman" w:hAnsi="Times New Roman" w:cs="Times New Roman"/>
          <w:i/>
          <w:sz w:val="20"/>
          <w:szCs w:val="20"/>
        </w:rPr>
      </w:pPr>
    </w:p>
    <w:p w14:paraId="7577FD47" w14:textId="77777777" w:rsidR="005C5609" w:rsidRPr="00EB581D" w:rsidRDefault="005C5609" w:rsidP="005218A2">
      <w:pPr>
        <w:tabs>
          <w:tab w:val="left" w:pos="284"/>
        </w:tabs>
        <w:spacing w:after="0" w:line="240" w:lineRule="auto"/>
        <w:jc w:val="both"/>
        <w:rPr>
          <w:rFonts w:ascii="Times New Roman" w:hAnsi="Times New Roman" w:cs="Times New Roman"/>
          <w:i/>
          <w:sz w:val="20"/>
          <w:szCs w:val="20"/>
        </w:rPr>
      </w:pPr>
    </w:p>
    <w:p w14:paraId="00B4F1D6" w14:textId="77777777" w:rsidR="005218A2" w:rsidRPr="00EB581D" w:rsidRDefault="005218A2" w:rsidP="005218A2">
      <w:pPr>
        <w:tabs>
          <w:tab w:val="left" w:pos="284"/>
        </w:tabs>
        <w:spacing w:after="0" w:line="240" w:lineRule="auto"/>
        <w:jc w:val="both"/>
        <w:rPr>
          <w:rFonts w:ascii="Times New Roman" w:hAnsi="Times New Roman" w:cs="Times New Roman"/>
          <w:sz w:val="20"/>
          <w:szCs w:val="20"/>
        </w:rPr>
      </w:pPr>
      <w:r w:rsidRPr="00EB581D">
        <w:rPr>
          <w:rFonts w:ascii="Times New Roman" w:hAnsi="Times New Roman" w:cs="Times New Roman"/>
          <w:i/>
          <w:sz w:val="20"/>
          <w:szCs w:val="20"/>
        </w:rPr>
        <w:tab/>
        <w:t>RECALLING</w:t>
      </w:r>
      <w:r w:rsidRPr="00EB581D">
        <w:rPr>
          <w:rFonts w:ascii="Times New Roman" w:hAnsi="Times New Roman" w:cs="Times New Roman"/>
          <w:sz w:val="20"/>
          <w:szCs w:val="20"/>
        </w:rPr>
        <w:t xml:space="preserve"> </w:t>
      </w:r>
      <w:r w:rsidRPr="00EB581D">
        <w:rPr>
          <w:rFonts w:ascii="Times New Roman" w:hAnsi="Times New Roman" w:cs="Times New Roman"/>
          <w:i/>
          <w:sz w:val="20"/>
          <w:szCs w:val="20"/>
        </w:rPr>
        <w:t>Recommendation by ICCAT on the Principles of Decision Making for ICCAT Conservation and Management Measures</w:t>
      </w:r>
      <w:r w:rsidRPr="00EB581D">
        <w:rPr>
          <w:rFonts w:ascii="Times New Roman" w:hAnsi="Times New Roman" w:cs="Times New Roman"/>
          <w:sz w:val="20"/>
          <w:szCs w:val="20"/>
        </w:rPr>
        <w:t xml:space="preserve"> [Rec. 11-13] to support the achievement of the ICCAT Convention objective;</w:t>
      </w:r>
    </w:p>
    <w:p w14:paraId="38AE4DB9" w14:textId="77777777" w:rsidR="005218A2" w:rsidRPr="00EB581D" w:rsidRDefault="005218A2" w:rsidP="005218A2">
      <w:pPr>
        <w:spacing w:after="0" w:line="240" w:lineRule="auto"/>
        <w:jc w:val="both"/>
        <w:rPr>
          <w:rFonts w:ascii="Times New Roman" w:hAnsi="Times New Roman" w:cs="Times New Roman"/>
          <w:sz w:val="20"/>
          <w:szCs w:val="20"/>
        </w:rPr>
      </w:pPr>
    </w:p>
    <w:p w14:paraId="11E887C8" w14:textId="77777777" w:rsidR="005218A2" w:rsidRPr="00EB581D" w:rsidRDefault="005218A2" w:rsidP="005218A2">
      <w:pPr>
        <w:tabs>
          <w:tab w:val="left" w:pos="284"/>
        </w:tabs>
        <w:spacing w:after="0" w:line="240" w:lineRule="auto"/>
        <w:jc w:val="both"/>
        <w:rPr>
          <w:rFonts w:ascii="Times New Roman" w:hAnsi="Times New Roman" w:cs="Times New Roman"/>
          <w:sz w:val="20"/>
          <w:szCs w:val="20"/>
        </w:rPr>
      </w:pPr>
      <w:r w:rsidRPr="00EB581D">
        <w:rPr>
          <w:rFonts w:ascii="Times New Roman" w:hAnsi="Times New Roman" w:cs="Times New Roman"/>
          <w:i/>
          <w:sz w:val="20"/>
          <w:szCs w:val="20"/>
        </w:rPr>
        <w:tab/>
        <w:t>NOTING</w:t>
      </w:r>
      <w:r w:rsidRPr="00EB581D">
        <w:rPr>
          <w:rFonts w:ascii="Times New Roman" w:hAnsi="Times New Roman" w:cs="Times New Roman"/>
          <w:sz w:val="20"/>
          <w:szCs w:val="20"/>
        </w:rPr>
        <w:t xml:space="preserve"> that the 2010 ICCAT Working Group for Stock Assessment Methods held in April 2010 in Madrid (Spain) endorsed the definitions on reference points presented during the 1999 </w:t>
      </w:r>
      <w:r w:rsidRPr="00EB581D">
        <w:rPr>
          <w:rFonts w:ascii="Times New Roman" w:hAnsi="Times New Roman" w:cs="Times New Roman"/>
          <w:i/>
          <w:sz w:val="20"/>
          <w:szCs w:val="20"/>
        </w:rPr>
        <w:t>ad hoc</w:t>
      </w:r>
      <w:r w:rsidRPr="00EB581D">
        <w:rPr>
          <w:rFonts w:ascii="Times New Roman" w:hAnsi="Times New Roman" w:cs="Times New Roman"/>
          <w:sz w:val="20"/>
          <w:szCs w:val="20"/>
        </w:rPr>
        <w:t xml:space="preserve"> Meeting of the ICCAT Working Group on Precautionary Approach held in Dublin in May 1999;</w:t>
      </w:r>
    </w:p>
    <w:p w14:paraId="20ADACDE" w14:textId="77777777" w:rsidR="005218A2" w:rsidRPr="00EB581D" w:rsidRDefault="005218A2" w:rsidP="005218A2">
      <w:pPr>
        <w:tabs>
          <w:tab w:val="left" w:pos="284"/>
        </w:tabs>
        <w:spacing w:after="0" w:line="240" w:lineRule="auto"/>
        <w:jc w:val="both"/>
        <w:rPr>
          <w:rFonts w:ascii="Times New Roman" w:hAnsi="Times New Roman" w:cs="Times New Roman"/>
          <w:i/>
          <w:sz w:val="20"/>
          <w:szCs w:val="20"/>
        </w:rPr>
      </w:pPr>
      <w:r w:rsidRPr="00EB581D">
        <w:rPr>
          <w:rFonts w:ascii="Times New Roman" w:hAnsi="Times New Roman" w:cs="Times New Roman"/>
          <w:i/>
          <w:sz w:val="20"/>
          <w:szCs w:val="20"/>
        </w:rPr>
        <w:tab/>
      </w:r>
    </w:p>
    <w:p w14:paraId="41CD96BE" w14:textId="432F0F88" w:rsidR="005218A2" w:rsidRPr="00EB581D" w:rsidRDefault="005218A2" w:rsidP="005218A2">
      <w:pPr>
        <w:tabs>
          <w:tab w:val="left" w:pos="284"/>
        </w:tabs>
        <w:spacing w:after="0" w:line="240" w:lineRule="auto"/>
        <w:jc w:val="both"/>
        <w:rPr>
          <w:rFonts w:ascii="Times New Roman" w:hAnsi="Times New Roman" w:cs="Times New Roman"/>
          <w:sz w:val="20"/>
          <w:szCs w:val="20"/>
        </w:rPr>
      </w:pPr>
      <w:r w:rsidRPr="00EB581D">
        <w:rPr>
          <w:rFonts w:ascii="Times New Roman" w:hAnsi="Times New Roman" w:cs="Times New Roman"/>
          <w:i/>
          <w:sz w:val="20"/>
          <w:szCs w:val="20"/>
        </w:rPr>
        <w:tab/>
        <w:t>ACKNOWLEDGING</w:t>
      </w:r>
      <w:r w:rsidRPr="00EB581D">
        <w:rPr>
          <w:rFonts w:ascii="Times New Roman" w:hAnsi="Times New Roman" w:cs="Times New Roman"/>
          <w:sz w:val="20"/>
          <w:szCs w:val="20"/>
        </w:rPr>
        <w:t xml:space="preserve"> that the discussions held in the First Meeting of the ICC</w:t>
      </w:r>
      <w:r w:rsidR="00E97BBE" w:rsidRPr="00EB581D">
        <w:rPr>
          <w:rFonts w:ascii="Times New Roman" w:hAnsi="Times New Roman" w:cs="Times New Roman"/>
          <w:sz w:val="20"/>
          <w:szCs w:val="20"/>
        </w:rPr>
        <w:t xml:space="preserve">AT Working Group to Enhance </w:t>
      </w:r>
      <w:r w:rsidRPr="00EB581D">
        <w:rPr>
          <w:rFonts w:ascii="Times New Roman" w:hAnsi="Times New Roman" w:cs="Times New Roman"/>
          <w:sz w:val="20"/>
          <w:szCs w:val="20"/>
        </w:rPr>
        <w:t>Dialogue between Fisheries Scientists and Managers suggested that a dialogue of a general nature should continue on issues such as acceptable levels of risk, targets, limits and time horizons based on Rec. [11-13];</w:t>
      </w:r>
    </w:p>
    <w:p w14:paraId="071CC58D" w14:textId="77777777" w:rsidR="005218A2" w:rsidRPr="00EB581D" w:rsidRDefault="005218A2" w:rsidP="005218A2">
      <w:pPr>
        <w:tabs>
          <w:tab w:val="left" w:pos="284"/>
        </w:tabs>
        <w:spacing w:after="0" w:line="240" w:lineRule="auto"/>
        <w:jc w:val="both"/>
        <w:rPr>
          <w:rFonts w:ascii="Times New Roman" w:hAnsi="Times New Roman" w:cs="Times New Roman"/>
          <w:i/>
          <w:sz w:val="20"/>
          <w:szCs w:val="20"/>
        </w:rPr>
      </w:pPr>
      <w:r w:rsidRPr="00EB581D">
        <w:rPr>
          <w:rFonts w:ascii="Times New Roman" w:hAnsi="Times New Roman" w:cs="Times New Roman"/>
          <w:i/>
          <w:sz w:val="20"/>
          <w:szCs w:val="20"/>
        </w:rPr>
        <w:tab/>
      </w:r>
    </w:p>
    <w:p w14:paraId="75D3737B" w14:textId="3B43F576" w:rsidR="005218A2" w:rsidRPr="00EB581D" w:rsidRDefault="005218A2" w:rsidP="005218A2">
      <w:pPr>
        <w:tabs>
          <w:tab w:val="left" w:pos="284"/>
        </w:tabs>
        <w:spacing w:after="0" w:line="240" w:lineRule="auto"/>
        <w:jc w:val="both"/>
        <w:rPr>
          <w:rFonts w:ascii="Times New Roman" w:hAnsi="Times New Roman" w:cs="Times New Roman"/>
          <w:sz w:val="20"/>
          <w:szCs w:val="20"/>
        </w:rPr>
      </w:pPr>
      <w:r w:rsidRPr="00EB581D">
        <w:rPr>
          <w:rFonts w:ascii="Times New Roman" w:hAnsi="Times New Roman" w:cs="Times New Roman"/>
          <w:i/>
          <w:sz w:val="20"/>
          <w:szCs w:val="20"/>
        </w:rPr>
        <w:tab/>
        <w:t>ALSO ACKNOWLEDGING</w:t>
      </w:r>
      <w:r w:rsidRPr="00EB581D">
        <w:rPr>
          <w:rFonts w:ascii="Times New Roman" w:hAnsi="Times New Roman" w:cs="Times New Roman"/>
          <w:sz w:val="20"/>
          <w:szCs w:val="20"/>
        </w:rPr>
        <w:t xml:space="preserve"> that the Second Meeting of the IC</w:t>
      </w:r>
      <w:r w:rsidR="00E97BBE" w:rsidRPr="00EB581D">
        <w:rPr>
          <w:rFonts w:ascii="Times New Roman" w:hAnsi="Times New Roman" w:cs="Times New Roman"/>
          <w:sz w:val="20"/>
          <w:szCs w:val="20"/>
        </w:rPr>
        <w:t>CAT Working Group to Enhance</w:t>
      </w:r>
      <w:r w:rsidRPr="00EB581D">
        <w:rPr>
          <w:rFonts w:ascii="Times New Roman" w:hAnsi="Times New Roman" w:cs="Times New Roman"/>
          <w:sz w:val="20"/>
          <w:szCs w:val="20"/>
        </w:rPr>
        <w:t xml:space="preserve"> Dialogue between Fisheries Scientists and Managers recommended to examine ways to further define the management framework building on Rec. [11-13], in particular in relation to reference points, associated probabilities and timeframes;</w:t>
      </w:r>
    </w:p>
    <w:p w14:paraId="4C023DE7" w14:textId="77777777" w:rsidR="005218A2" w:rsidRPr="00EB581D" w:rsidRDefault="005218A2" w:rsidP="005218A2">
      <w:pPr>
        <w:tabs>
          <w:tab w:val="left" w:pos="284"/>
        </w:tabs>
        <w:spacing w:after="0" w:line="240" w:lineRule="auto"/>
        <w:jc w:val="both"/>
        <w:rPr>
          <w:rFonts w:ascii="Times New Roman" w:hAnsi="Times New Roman" w:cs="Times New Roman"/>
          <w:i/>
          <w:sz w:val="20"/>
          <w:szCs w:val="20"/>
        </w:rPr>
      </w:pPr>
      <w:r w:rsidRPr="00EB581D">
        <w:rPr>
          <w:rFonts w:ascii="Times New Roman" w:hAnsi="Times New Roman" w:cs="Times New Roman"/>
          <w:i/>
          <w:sz w:val="20"/>
          <w:szCs w:val="20"/>
        </w:rPr>
        <w:tab/>
      </w:r>
    </w:p>
    <w:p w14:paraId="0D0DA974" w14:textId="77777777" w:rsidR="005218A2" w:rsidRPr="00EB581D" w:rsidRDefault="005218A2" w:rsidP="005218A2">
      <w:pPr>
        <w:tabs>
          <w:tab w:val="left" w:pos="284"/>
        </w:tabs>
        <w:spacing w:after="0" w:line="240" w:lineRule="auto"/>
        <w:jc w:val="both"/>
        <w:rPr>
          <w:rFonts w:ascii="Times New Roman" w:hAnsi="Times New Roman" w:cs="Times New Roman"/>
          <w:sz w:val="20"/>
          <w:szCs w:val="20"/>
        </w:rPr>
      </w:pPr>
      <w:r w:rsidRPr="00EB581D">
        <w:rPr>
          <w:rFonts w:ascii="Times New Roman" w:hAnsi="Times New Roman" w:cs="Times New Roman"/>
          <w:i/>
          <w:sz w:val="20"/>
          <w:szCs w:val="20"/>
        </w:rPr>
        <w:tab/>
        <w:t>FURTHER ACKNOWLEDGING</w:t>
      </w:r>
      <w:r w:rsidRPr="00EB581D">
        <w:rPr>
          <w:rFonts w:ascii="Times New Roman" w:hAnsi="Times New Roman" w:cs="Times New Roman"/>
          <w:sz w:val="20"/>
          <w:szCs w:val="20"/>
        </w:rPr>
        <w:t xml:space="preserve"> that one of the main goals of the SCRS Science Strategic Plan 2015-2020 is to evaluate precautionary management reference points and robust harvest control rules (HCRs) through management strategy evaluations (MSE); </w:t>
      </w:r>
    </w:p>
    <w:p w14:paraId="602A7525" w14:textId="77777777" w:rsidR="005218A2" w:rsidRPr="00EB581D" w:rsidRDefault="005218A2" w:rsidP="005218A2">
      <w:pPr>
        <w:spacing w:after="0" w:line="240" w:lineRule="auto"/>
        <w:jc w:val="center"/>
        <w:rPr>
          <w:rFonts w:ascii="Times New Roman" w:hAnsi="Times New Roman" w:cs="Times New Roman"/>
          <w:sz w:val="20"/>
          <w:szCs w:val="20"/>
        </w:rPr>
      </w:pPr>
    </w:p>
    <w:p w14:paraId="7DAA0BB4" w14:textId="77777777" w:rsidR="00BB2693" w:rsidRPr="00EB581D" w:rsidRDefault="00BB2693" w:rsidP="005218A2">
      <w:pPr>
        <w:spacing w:after="0" w:line="240" w:lineRule="auto"/>
        <w:jc w:val="center"/>
        <w:rPr>
          <w:rFonts w:ascii="Times New Roman" w:hAnsi="Times New Roman" w:cs="Times New Roman"/>
          <w:sz w:val="20"/>
          <w:szCs w:val="20"/>
        </w:rPr>
      </w:pPr>
    </w:p>
    <w:p w14:paraId="538346E9" w14:textId="77777777" w:rsidR="005218A2" w:rsidRPr="00EB581D" w:rsidRDefault="005218A2" w:rsidP="005218A2">
      <w:pPr>
        <w:spacing w:after="0" w:line="240" w:lineRule="auto"/>
        <w:jc w:val="center"/>
        <w:rPr>
          <w:rFonts w:ascii="Times New Roman" w:hAnsi="Times New Roman" w:cs="Times New Roman"/>
          <w:sz w:val="20"/>
          <w:szCs w:val="20"/>
        </w:rPr>
      </w:pPr>
      <w:r w:rsidRPr="00EB581D">
        <w:rPr>
          <w:rFonts w:ascii="Times New Roman" w:hAnsi="Times New Roman" w:cs="Times New Roman"/>
          <w:sz w:val="20"/>
          <w:szCs w:val="20"/>
        </w:rPr>
        <w:t xml:space="preserve">THE INTERNATIONAL COMMISSION FOR THE CONSERVATION </w:t>
      </w:r>
    </w:p>
    <w:p w14:paraId="6E4431E2" w14:textId="77777777" w:rsidR="005218A2" w:rsidRPr="00EB581D" w:rsidRDefault="005218A2" w:rsidP="005218A2">
      <w:pPr>
        <w:spacing w:after="0" w:line="240" w:lineRule="auto"/>
        <w:jc w:val="center"/>
        <w:rPr>
          <w:rFonts w:ascii="Times New Roman" w:hAnsi="Times New Roman" w:cs="Times New Roman"/>
          <w:sz w:val="20"/>
          <w:szCs w:val="20"/>
        </w:rPr>
      </w:pPr>
      <w:r w:rsidRPr="00EB581D">
        <w:rPr>
          <w:rFonts w:ascii="Times New Roman" w:hAnsi="Times New Roman" w:cs="Times New Roman"/>
          <w:sz w:val="20"/>
          <w:szCs w:val="20"/>
        </w:rPr>
        <w:t>OF ATLANTIC TUNAS (ICCAT) RECOMMENDS THAT:</w:t>
      </w:r>
    </w:p>
    <w:p w14:paraId="493A91C1" w14:textId="77777777" w:rsidR="005218A2" w:rsidRPr="00EB581D" w:rsidRDefault="005218A2" w:rsidP="005218A2">
      <w:pPr>
        <w:spacing w:after="0" w:line="240" w:lineRule="auto"/>
        <w:jc w:val="center"/>
        <w:rPr>
          <w:rFonts w:ascii="Times New Roman" w:hAnsi="Times New Roman" w:cs="Times New Roman"/>
          <w:sz w:val="20"/>
          <w:szCs w:val="20"/>
        </w:rPr>
      </w:pPr>
    </w:p>
    <w:p w14:paraId="66F66D41" w14:textId="77777777" w:rsidR="005218A2" w:rsidRPr="00EB581D" w:rsidRDefault="005218A2" w:rsidP="005218A2">
      <w:pPr>
        <w:pStyle w:val="ListParagraph"/>
        <w:numPr>
          <w:ilvl w:val="0"/>
          <w:numId w:val="1"/>
        </w:numPr>
        <w:spacing w:after="0" w:line="240" w:lineRule="auto"/>
        <w:jc w:val="both"/>
        <w:rPr>
          <w:rFonts w:ascii="Times New Roman" w:hAnsi="Times New Roman" w:cs="Times New Roman"/>
          <w:sz w:val="20"/>
          <w:szCs w:val="20"/>
        </w:rPr>
      </w:pPr>
      <w:r w:rsidRPr="00EB581D">
        <w:rPr>
          <w:rFonts w:ascii="Times New Roman" w:hAnsi="Times New Roman" w:cs="Times New Roman"/>
          <w:sz w:val="20"/>
          <w:szCs w:val="20"/>
        </w:rPr>
        <w:t>For the purposes of this Recommendation, the following working definitions apply:</w:t>
      </w:r>
    </w:p>
    <w:p w14:paraId="16CA5625" w14:textId="77777777" w:rsidR="005218A2" w:rsidRPr="00EB581D" w:rsidRDefault="005218A2" w:rsidP="005218A2">
      <w:pPr>
        <w:pStyle w:val="ListParagraph"/>
        <w:spacing w:after="0" w:line="240" w:lineRule="auto"/>
        <w:ind w:left="360"/>
        <w:jc w:val="both"/>
        <w:rPr>
          <w:rFonts w:ascii="Times New Roman" w:hAnsi="Times New Roman" w:cs="Times New Roman"/>
          <w:sz w:val="20"/>
          <w:szCs w:val="20"/>
        </w:rPr>
      </w:pPr>
    </w:p>
    <w:p w14:paraId="6B5782C2" w14:textId="77777777" w:rsidR="005218A2" w:rsidRPr="00EB581D" w:rsidRDefault="005218A2" w:rsidP="005218A2">
      <w:pPr>
        <w:pStyle w:val="ListParagraph"/>
        <w:numPr>
          <w:ilvl w:val="1"/>
          <w:numId w:val="1"/>
        </w:numPr>
        <w:spacing w:after="0" w:line="240" w:lineRule="auto"/>
        <w:ind w:left="851" w:hanging="425"/>
        <w:jc w:val="both"/>
        <w:rPr>
          <w:rFonts w:ascii="Times New Roman" w:hAnsi="Times New Roman" w:cs="Times New Roman"/>
          <w:sz w:val="20"/>
          <w:szCs w:val="20"/>
        </w:rPr>
      </w:pPr>
      <w:r w:rsidRPr="00EB581D">
        <w:rPr>
          <w:rFonts w:ascii="Times New Roman" w:hAnsi="Times New Roman" w:cs="Times New Roman"/>
          <w:sz w:val="20"/>
          <w:szCs w:val="20"/>
        </w:rPr>
        <w:t xml:space="preserve">The management strategy evaluation (MSE) is an inclusive, interactive and iterative process for evaluating, </w:t>
      </w:r>
      <w:r w:rsidRPr="00EB581D">
        <w:rPr>
          <w:rFonts w:ascii="Times New Roman" w:hAnsi="Times New Roman" w:cs="Times New Roman"/>
          <w:i/>
          <w:sz w:val="20"/>
          <w:szCs w:val="20"/>
        </w:rPr>
        <w:t>inter alia</w:t>
      </w:r>
      <w:r w:rsidRPr="00EB581D">
        <w:rPr>
          <w:rFonts w:ascii="Times New Roman" w:hAnsi="Times New Roman" w:cs="Times New Roman"/>
          <w:sz w:val="20"/>
          <w:szCs w:val="20"/>
        </w:rPr>
        <w:t>, the performance of proposed harvest control rules and reference points in relation to management objectives, including the risk associated with not achieving those objectives;</w:t>
      </w:r>
    </w:p>
    <w:p w14:paraId="17404AF5" w14:textId="77777777" w:rsidR="005218A2" w:rsidRPr="00EB581D" w:rsidRDefault="005218A2" w:rsidP="005218A2">
      <w:pPr>
        <w:spacing w:after="0" w:line="240" w:lineRule="auto"/>
        <w:ind w:left="426"/>
        <w:jc w:val="both"/>
        <w:rPr>
          <w:rFonts w:ascii="Times New Roman" w:hAnsi="Times New Roman" w:cs="Times New Roman"/>
          <w:sz w:val="20"/>
          <w:szCs w:val="20"/>
        </w:rPr>
      </w:pPr>
    </w:p>
    <w:p w14:paraId="188863DC" w14:textId="0ECF047C" w:rsidR="005218A2" w:rsidRPr="00EB581D" w:rsidRDefault="005218A2" w:rsidP="005218A2">
      <w:pPr>
        <w:pStyle w:val="ListParagraph"/>
        <w:numPr>
          <w:ilvl w:val="1"/>
          <w:numId w:val="1"/>
        </w:numPr>
        <w:spacing w:after="0" w:line="240" w:lineRule="auto"/>
        <w:ind w:left="851" w:hanging="425"/>
        <w:jc w:val="both"/>
        <w:rPr>
          <w:rFonts w:ascii="Times New Roman" w:hAnsi="Times New Roman" w:cs="Times New Roman"/>
          <w:sz w:val="20"/>
          <w:szCs w:val="20"/>
        </w:rPr>
      </w:pPr>
      <w:r w:rsidRPr="00EB581D">
        <w:rPr>
          <w:rFonts w:ascii="Times New Roman" w:hAnsi="Times New Roman" w:cs="Times New Roman"/>
          <w:sz w:val="20"/>
          <w:szCs w:val="20"/>
        </w:rPr>
        <w:t>A limit is a conservation reference point based on a level of biomass (B</w:t>
      </w:r>
      <w:r w:rsidRPr="00EB581D">
        <w:rPr>
          <w:rFonts w:ascii="Times New Roman" w:hAnsi="Times New Roman" w:cs="Times New Roman"/>
          <w:sz w:val="20"/>
          <w:szCs w:val="20"/>
          <w:vertAlign w:val="subscript"/>
        </w:rPr>
        <w:t>LIM</w:t>
      </w:r>
      <w:r w:rsidRPr="00EB581D">
        <w:rPr>
          <w:rFonts w:ascii="Times New Roman" w:hAnsi="Times New Roman" w:cs="Times New Roman"/>
          <w:sz w:val="20"/>
          <w:szCs w:val="20"/>
        </w:rPr>
        <w:t xml:space="preserve">) that should be avoided considering that beyond such limits, </w:t>
      </w:r>
      <w:r w:rsidR="00826A2B" w:rsidRPr="00EB581D">
        <w:rPr>
          <w:rFonts w:ascii="Times New Roman" w:hAnsi="Times New Roman" w:cs="Times New Roman"/>
          <w:sz w:val="20"/>
          <w:szCs w:val="20"/>
        </w:rPr>
        <w:t>the sustainability of the stock may be in danger</w:t>
      </w:r>
      <w:r w:rsidRPr="00EB581D">
        <w:rPr>
          <w:rFonts w:ascii="Times New Roman" w:hAnsi="Times New Roman" w:cs="Times New Roman"/>
          <w:sz w:val="20"/>
          <w:szCs w:val="20"/>
        </w:rPr>
        <w:t>;</w:t>
      </w:r>
    </w:p>
    <w:p w14:paraId="436BB402" w14:textId="77777777" w:rsidR="005218A2" w:rsidRPr="00EB581D" w:rsidRDefault="005218A2" w:rsidP="005218A2">
      <w:pPr>
        <w:spacing w:after="0" w:line="240" w:lineRule="auto"/>
        <w:ind w:left="426"/>
        <w:jc w:val="both"/>
        <w:rPr>
          <w:rFonts w:ascii="Times New Roman" w:hAnsi="Times New Roman" w:cs="Times New Roman"/>
          <w:sz w:val="20"/>
          <w:szCs w:val="20"/>
        </w:rPr>
      </w:pPr>
    </w:p>
    <w:p w14:paraId="15E57656" w14:textId="77777777" w:rsidR="005218A2" w:rsidRPr="00EB581D" w:rsidRDefault="005218A2" w:rsidP="005218A2">
      <w:pPr>
        <w:pStyle w:val="ListParagraph"/>
        <w:numPr>
          <w:ilvl w:val="1"/>
          <w:numId w:val="1"/>
        </w:numPr>
        <w:spacing w:after="0" w:line="240" w:lineRule="auto"/>
        <w:ind w:left="851" w:hanging="425"/>
        <w:jc w:val="both"/>
        <w:rPr>
          <w:rFonts w:ascii="Times New Roman" w:hAnsi="Times New Roman" w:cs="Times New Roman"/>
          <w:sz w:val="20"/>
          <w:szCs w:val="20"/>
        </w:rPr>
      </w:pPr>
      <w:r w:rsidRPr="00EB581D">
        <w:rPr>
          <w:rFonts w:ascii="Times New Roman" w:hAnsi="Times New Roman" w:cs="Times New Roman"/>
          <w:sz w:val="20"/>
          <w:szCs w:val="20"/>
        </w:rPr>
        <w:t>A target is a management objective based on a level of biomass (B</w:t>
      </w:r>
      <w:r w:rsidRPr="00EB581D">
        <w:rPr>
          <w:rFonts w:ascii="Times New Roman" w:hAnsi="Times New Roman" w:cs="Times New Roman"/>
          <w:sz w:val="20"/>
          <w:szCs w:val="20"/>
          <w:vertAlign w:val="subscript"/>
        </w:rPr>
        <w:t>TARGET</w:t>
      </w:r>
      <w:r w:rsidRPr="00EB581D">
        <w:rPr>
          <w:rFonts w:ascii="Times New Roman" w:hAnsi="Times New Roman" w:cs="Times New Roman"/>
          <w:sz w:val="20"/>
          <w:szCs w:val="20"/>
        </w:rPr>
        <w:t>) or a fishing mortality rate (F</w:t>
      </w:r>
      <w:r w:rsidRPr="00EB581D">
        <w:rPr>
          <w:rFonts w:ascii="Times New Roman" w:hAnsi="Times New Roman" w:cs="Times New Roman"/>
          <w:sz w:val="20"/>
          <w:szCs w:val="20"/>
          <w:vertAlign w:val="subscript"/>
        </w:rPr>
        <w:t>TARGET</w:t>
      </w:r>
      <w:r w:rsidRPr="00EB581D">
        <w:rPr>
          <w:rFonts w:ascii="Times New Roman" w:hAnsi="Times New Roman" w:cs="Times New Roman"/>
          <w:sz w:val="20"/>
          <w:szCs w:val="20"/>
        </w:rPr>
        <w:t>) that should be achieved and maintained;</w:t>
      </w:r>
    </w:p>
    <w:p w14:paraId="1EF99145" w14:textId="77777777" w:rsidR="005218A2" w:rsidRPr="00EB581D" w:rsidRDefault="005218A2" w:rsidP="005218A2">
      <w:pPr>
        <w:pStyle w:val="ListParagraph"/>
        <w:rPr>
          <w:rFonts w:ascii="Times New Roman" w:hAnsi="Times New Roman" w:cs="Times New Roman"/>
          <w:sz w:val="20"/>
          <w:szCs w:val="20"/>
        </w:rPr>
      </w:pPr>
    </w:p>
    <w:p w14:paraId="6746B73E" w14:textId="77777777" w:rsidR="005218A2" w:rsidRPr="00EB581D" w:rsidRDefault="005218A2" w:rsidP="005218A2">
      <w:pPr>
        <w:pStyle w:val="ListParagraph"/>
        <w:numPr>
          <w:ilvl w:val="1"/>
          <w:numId w:val="1"/>
        </w:numPr>
        <w:spacing w:after="0" w:line="240" w:lineRule="auto"/>
        <w:ind w:left="851" w:hanging="425"/>
        <w:jc w:val="both"/>
        <w:rPr>
          <w:rFonts w:ascii="Times New Roman" w:hAnsi="Times New Roman" w:cs="Times New Roman"/>
          <w:sz w:val="20"/>
          <w:szCs w:val="20"/>
        </w:rPr>
      </w:pPr>
      <w:r w:rsidRPr="00EB581D">
        <w:rPr>
          <w:rFonts w:ascii="Times New Roman" w:hAnsi="Times New Roman" w:cs="Times New Roman"/>
          <w:sz w:val="20"/>
          <w:szCs w:val="20"/>
        </w:rPr>
        <w:t>A threshold is a level of biomass (B</w:t>
      </w:r>
      <w:r w:rsidRPr="00EB581D">
        <w:rPr>
          <w:rFonts w:ascii="Times New Roman" w:hAnsi="Times New Roman" w:cs="Times New Roman"/>
          <w:sz w:val="20"/>
          <w:szCs w:val="20"/>
          <w:vertAlign w:val="subscript"/>
        </w:rPr>
        <w:t>THRESHOLD</w:t>
      </w:r>
      <w:r w:rsidRPr="00EB581D">
        <w:rPr>
          <w:rFonts w:ascii="Times New Roman" w:hAnsi="Times New Roman" w:cs="Times New Roman"/>
          <w:sz w:val="20"/>
          <w:szCs w:val="20"/>
        </w:rPr>
        <w:t>) reflecting the precautionary approach that triggers pre-agreed management actions to reduce the risk of breaching the limits. Thresholds should be set sufficiently far away from limits so that there is low probability that the limits will be exceeded; and</w:t>
      </w:r>
    </w:p>
    <w:p w14:paraId="1EF0A1B0" w14:textId="77777777" w:rsidR="005218A2" w:rsidRPr="00EB581D" w:rsidRDefault="005218A2" w:rsidP="005218A2">
      <w:pPr>
        <w:spacing w:after="0" w:line="240" w:lineRule="auto"/>
        <w:ind w:left="426"/>
        <w:jc w:val="both"/>
        <w:rPr>
          <w:rFonts w:ascii="Times New Roman" w:hAnsi="Times New Roman" w:cs="Times New Roman"/>
          <w:sz w:val="20"/>
          <w:szCs w:val="20"/>
        </w:rPr>
      </w:pPr>
    </w:p>
    <w:p w14:paraId="1077A073" w14:textId="51644869" w:rsidR="005218A2" w:rsidRDefault="00E97BBE" w:rsidP="005218A2">
      <w:pPr>
        <w:pStyle w:val="ListParagraph"/>
        <w:numPr>
          <w:ilvl w:val="1"/>
          <w:numId w:val="1"/>
        </w:numPr>
        <w:spacing w:after="0" w:line="240" w:lineRule="auto"/>
        <w:ind w:left="851" w:hanging="425"/>
        <w:jc w:val="both"/>
        <w:rPr>
          <w:rFonts w:ascii="Times New Roman" w:hAnsi="Times New Roman" w:cs="Times New Roman"/>
          <w:sz w:val="20"/>
          <w:szCs w:val="20"/>
        </w:rPr>
      </w:pPr>
      <w:r w:rsidRPr="00EB581D">
        <w:rPr>
          <w:rFonts w:ascii="Times New Roman" w:hAnsi="Times New Roman" w:cs="Times New Roman"/>
          <w:sz w:val="20"/>
          <w:szCs w:val="20"/>
        </w:rPr>
        <w:t>Harvest C</w:t>
      </w:r>
      <w:r w:rsidR="005218A2" w:rsidRPr="00EB581D">
        <w:rPr>
          <w:rFonts w:ascii="Times New Roman" w:hAnsi="Times New Roman" w:cs="Times New Roman"/>
          <w:sz w:val="20"/>
          <w:szCs w:val="20"/>
        </w:rPr>
        <w:t>ontrol Rules (HCRs) are decision rules that aim to achieve the target reference point and avoid the limit reference point by specifying pre-agreed management actions when B</w:t>
      </w:r>
      <w:r w:rsidR="005218A2" w:rsidRPr="00EB581D">
        <w:rPr>
          <w:rFonts w:ascii="Times New Roman" w:hAnsi="Times New Roman" w:cs="Times New Roman"/>
          <w:sz w:val="20"/>
          <w:szCs w:val="20"/>
          <w:vertAlign w:val="subscript"/>
        </w:rPr>
        <w:t>THRESHOLD</w:t>
      </w:r>
      <w:r w:rsidR="005218A2" w:rsidRPr="00EB581D">
        <w:rPr>
          <w:rFonts w:ascii="Times New Roman" w:hAnsi="Times New Roman" w:cs="Times New Roman"/>
          <w:sz w:val="20"/>
          <w:szCs w:val="20"/>
        </w:rPr>
        <w:t>, F</w:t>
      </w:r>
      <w:r w:rsidR="005218A2" w:rsidRPr="00EB581D">
        <w:rPr>
          <w:rFonts w:ascii="Times New Roman" w:hAnsi="Times New Roman" w:cs="Times New Roman"/>
          <w:sz w:val="20"/>
          <w:szCs w:val="20"/>
          <w:vertAlign w:val="subscript"/>
        </w:rPr>
        <w:t>TARGET</w:t>
      </w:r>
      <w:r w:rsidR="005218A2" w:rsidRPr="00EB581D">
        <w:rPr>
          <w:rFonts w:ascii="Times New Roman" w:hAnsi="Times New Roman" w:cs="Times New Roman"/>
          <w:sz w:val="20"/>
          <w:szCs w:val="20"/>
        </w:rPr>
        <w:t xml:space="preserve"> or B</w:t>
      </w:r>
      <w:r w:rsidR="005218A2" w:rsidRPr="00EB581D">
        <w:rPr>
          <w:rFonts w:ascii="Times New Roman" w:hAnsi="Times New Roman" w:cs="Times New Roman"/>
          <w:sz w:val="20"/>
          <w:szCs w:val="20"/>
          <w:vertAlign w:val="subscript"/>
        </w:rPr>
        <w:t>LIM</w:t>
      </w:r>
      <w:r w:rsidR="005218A2" w:rsidRPr="00EB581D">
        <w:rPr>
          <w:rFonts w:ascii="Times New Roman" w:hAnsi="Times New Roman" w:cs="Times New Roman"/>
          <w:sz w:val="20"/>
          <w:szCs w:val="20"/>
        </w:rPr>
        <w:t xml:space="preserve"> are breached.</w:t>
      </w:r>
    </w:p>
    <w:p w14:paraId="0D7FD858" w14:textId="77777777" w:rsidR="00EB581D" w:rsidRPr="00EB581D" w:rsidRDefault="00EB581D" w:rsidP="00EB581D">
      <w:pPr>
        <w:pStyle w:val="ListParagraph"/>
        <w:rPr>
          <w:rFonts w:ascii="Times New Roman" w:hAnsi="Times New Roman" w:cs="Times New Roman"/>
          <w:sz w:val="20"/>
          <w:szCs w:val="20"/>
        </w:rPr>
      </w:pPr>
    </w:p>
    <w:p w14:paraId="0945B6B5" w14:textId="77777777" w:rsidR="005218A2" w:rsidRPr="00EB581D" w:rsidRDefault="005218A2" w:rsidP="005218A2">
      <w:pPr>
        <w:pStyle w:val="ListParagraph"/>
        <w:numPr>
          <w:ilvl w:val="0"/>
          <w:numId w:val="1"/>
        </w:numPr>
        <w:spacing w:after="0" w:line="240" w:lineRule="auto"/>
        <w:jc w:val="both"/>
        <w:rPr>
          <w:rFonts w:ascii="Times New Roman" w:hAnsi="Times New Roman" w:cs="Times New Roman"/>
          <w:sz w:val="20"/>
          <w:szCs w:val="20"/>
        </w:rPr>
      </w:pPr>
      <w:r w:rsidRPr="00EB581D">
        <w:rPr>
          <w:rFonts w:ascii="Times New Roman" w:hAnsi="Times New Roman" w:cs="Times New Roman"/>
          <w:sz w:val="20"/>
          <w:szCs w:val="20"/>
        </w:rPr>
        <w:t>The above definition should be considered by the SCRS during its process of revising the ICCAT glossary. Based on SCRS input, the Commission should revise the definitions, as appropriate.</w:t>
      </w:r>
    </w:p>
    <w:p w14:paraId="527EE910" w14:textId="77777777" w:rsidR="005218A2" w:rsidRPr="00EB581D" w:rsidRDefault="005218A2" w:rsidP="005218A2">
      <w:pPr>
        <w:spacing w:after="0" w:line="240" w:lineRule="auto"/>
        <w:jc w:val="both"/>
        <w:rPr>
          <w:rFonts w:ascii="Times New Roman" w:hAnsi="Times New Roman" w:cs="Times New Roman"/>
          <w:sz w:val="20"/>
          <w:szCs w:val="20"/>
        </w:rPr>
      </w:pPr>
    </w:p>
    <w:p w14:paraId="69BFE433" w14:textId="77777777" w:rsidR="005218A2" w:rsidRPr="00EB581D" w:rsidRDefault="005218A2" w:rsidP="005218A2">
      <w:pPr>
        <w:pStyle w:val="ListParagraph"/>
        <w:numPr>
          <w:ilvl w:val="0"/>
          <w:numId w:val="1"/>
        </w:numPr>
        <w:spacing w:after="0" w:line="240" w:lineRule="auto"/>
        <w:jc w:val="both"/>
        <w:rPr>
          <w:rFonts w:ascii="Times New Roman" w:hAnsi="Times New Roman" w:cs="Times New Roman"/>
          <w:sz w:val="20"/>
          <w:szCs w:val="20"/>
        </w:rPr>
      </w:pPr>
      <w:r w:rsidRPr="00EB581D">
        <w:rPr>
          <w:rFonts w:ascii="Times New Roman" w:hAnsi="Times New Roman" w:cs="Times New Roman"/>
          <w:sz w:val="20"/>
          <w:szCs w:val="20"/>
        </w:rPr>
        <w:t xml:space="preserve">As first steps of MSE implementation for a specific stock, the Commission shall provide guidance to the SCRS. Therefore, beginning in 2016 and consistent with priorities to be agreed by the Commission in light of the SCRS work program, the relevant ICCAT Panels will identify the following management inputs on a stock-by-stock basis, for, </w:t>
      </w:r>
      <w:r w:rsidRPr="00EB581D">
        <w:rPr>
          <w:rFonts w:ascii="Times New Roman" w:hAnsi="Times New Roman" w:cs="Times New Roman"/>
          <w:i/>
          <w:sz w:val="20"/>
          <w:szCs w:val="20"/>
        </w:rPr>
        <w:t>inter alia</w:t>
      </w:r>
      <w:r w:rsidRPr="00EB581D">
        <w:rPr>
          <w:rFonts w:ascii="Times New Roman" w:hAnsi="Times New Roman" w:cs="Times New Roman"/>
          <w:sz w:val="20"/>
          <w:szCs w:val="20"/>
        </w:rPr>
        <w:t>, northern albacore, bluefin tuna, North Atlantic swordfish, and tropical tunas:</w:t>
      </w:r>
    </w:p>
    <w:p w14:paraId="4F40E3A6" w14:textId="57317EE9" w:rsidR="005218A2" w:rsidRPr="00EB581D" w:rsidRDefault="005218A2" w:rsidP="005218A2">
      <w:pPr>
        <w:pStyle w:val="ListParagraph"/>
        <w:numPr>
          <w:ilvl w:val="1"/>
          <w:numId w:val="1"/>
        </w:numPr>
        <w:spacing w:after="0" w:line="240" w:lineRule="auto"/>
        <w:ind w:left="851" w:hanging="425"/>
        <w:jc w:val="both"/>
        <w:rPr>
          <w:rFonts w:ascii="Times New Roman" w:hAnsi="Times New Roman" w:cs="Times New Roman"/>
          <w:sz w:val="20"/>
          <w:szCs w:val="20"/>
        </w:rPr>
      </w:pPr>
      <w:r w:rsidRPr="00EB581D">
        <w:rPr>
          <w:rFonts w:ascii="Times New Roman" w:hAnsi="Times New Roman" w:cs="Times New Roman"/>
          <w:sz w:val="20"/>
          <w:szCs w:val="20"/>
        </w:rPr>
        <w:lastRenderedPageBreak/>
        <w:t>Management objectives, such as maximizing average catch, minimizing inter-annual fluctuations in TAC levels, returning or maintaining the stock in the green quadrant of the Kobe plot, etc</w:t>
      </w:r>
      <w:r w:rsidR="00EB581D">
        <w:rPr>
          <w:rFonts w:ascii="Times New Roman" w:hAnsi="Times New Roman" w:cs="Times New Roman"/>
          <w:sz w:val="20"/>
          <w:szCs w:val="20"/>
        </w:rPr>
        <w:t>.</w:t>
      </w:r>
      <w:r w:rsidRPr="00EB581D">
        <w:rPr>
          <w:rFonts w:ascii="Times New Roman" w:hAnsi="Times New Roman" w:cs="Times New Roman"/>
          <w:sz w:val="20"/>
          <w:szCs w:val="20"/>
        </w:rPr>
        <w:t>, taking into account the requirements of Rec. [11-13];</w:t>
      </w:r>
    </w:p>
    <w:p w14:paraId="076A49A6" w14:textId="77777777" w:rsidR="005218A2" w:rsidRPr="00EB581D" w:rsidRDefault="005218A2" w:rsidP="005218A2">
      <w:pPr>
        <w:pStyle w:val="ListParagraph"/>
        <w:spacing w:after="0" w:line="240" w:lineRule="auto"/>
        <w:ind w:left="1080"/>
        <w:jc w:val="both"/>
        <w:rPr>
          <w:rFonts w:ascii="Times New Roman" w:hAnsi="Times New Roman" w:cs="Times New Roman"/>
          <w:sz w:val="20"/>
          <w:szCs w:val="20"/>
        </w:rPr>
      </w:pPr>
    </w:p>
    <w:p w14:paraId="13982B4A" w14:textId="77777777" w:rsidR="005218A2" w:rsidRPr="00EB581D" w:rsidRDefault="005218A2" w:rsidP="005218A2">
      <w:pPr>
        <w:pStyle w:val="ListParagraph"/>
        <w:numPr>
          <w:ilvl w:val="1"/>
          <w:numId w:val="1"/>
        </w:numPr>
        <w:spacing w:after="0" w:line="240" w:lineRule="auto"/>
        <w:ind w:left="851" w:hanging="425"/>
        <w:jc w:val="both"/>
        <w:rPr>
          <w:rFonts w:ascii="Times New Roman" w:hAnsi="Times New Roman" w:cs="Times New Roman"/>
          <w:sz w:val="20"/>
          <w:szCs w:val="20"/>
        </w:rPr>
      </w:pPr>
      <w:r w:rsidRPr="00EB581D">
        <w:rPr>
          <w:rFonts w:ascii="Times New Roman" w:hAnsi="Times New Roman" w:cs="Times New Roman"/>
          <w:sz w:val="20"/>
          <w:szCs w:val="20"/>
        </w:rPr>
        <w:t>Acceptable quantitative level(s) of probability of achieving and/or maintaining stocks in the green zone of the Kobe plot and avoiding limit reference points; and</w:t>
      </w:r>
    </w:p>
    <w:p w14:paraId="4FC18262" w14:textId="77777777" w:rsidR="005218A2" w:rsidRPr="00EB581D" w:rsidRDefault="005218A2" w:rsidP="005218A2">
      <w:pPr>
        <w:spacing w:after="0" w:line="240" w:lineRule="auto"/>
        <w:ind w:left="426"/>
        <w:jc w:val="both"/>
        <w:rPr>
          <w:rFonts w:ascii="Times New Roman" w:hAnsi="Times New Roman" w:cs="Times New Roman"/>
          <w:sz w:val="20"/>
          <w:szCs w:val="20"/>
        </w:rPr>
      </w:pPr>
    </w:p>
    <w:p w14:paraId="4DB3D4E6" w14:textId="77777777" w:rsidR="005218A2" w:rsidRPr="00EB581D" w:rsidRDefault="005218A2" w:rsidP="005218A2">
      <w:pPr>
        <w:pStyle w:val="ListParagraph"/>
        <w:numPr>
          <w:ilvl w:val="1"/>
          <w:numId w:val="1"/>
        </w:numPr>
        <w:spacing w:after="0" w:line="240" w:lineRule="auto"/>
        <w:ind w:left="851" w:hanging="425"/>
        <w:jc w:val="both"/>
        <w:rPr>
          <w:sz w:val="20"/>
          <w:szCs w:val="20"/>
        </w:rPr>
      </w:pPr>
      <w:r w:rsidRPr="00EB581D">
        <w:rPr>
          <w:rFonts w:ascii="Times New Roman" w:hAnsi="Times New Roman" w:cs="Times New Roman"/>
          <w:sz w:val="20"/>
          <w:szCs w:val="20"/>
        </w:rPr>
        <w:t>Timeframes for halting overfishing on a stock and/or rebuilding an overfished stock.</w:t>
      </w:r>
      <w:r w:rsidRPr="00EB581D" w:rsidDel="00761316">
        <w:rPr>
          <w:rFonts w:ascii="Times New Roman" w:hAnsi="Times New Roman" w:cs="Times New Roman"/>
          <w:sz w:val="20"/>
          <w:szCs w:val="20"/>
        </w:rPr>
        <w:t xml:space="preserve"> </w:t>
      </w:r>
    </w:p>
    <w:p w14:paraId="06FB5998" w14:textId="77777777" w:rsidR="005218A2" w:rsidRPr="00EB581D" w:rsidRDefault="005218A2" w:rsidP="005218A2">
      <w:pPr>
        <w:pStyle w:val="ListParagraph"/>
        <w:spacing w:after="0" w:line="240" w:lineRule="auto"/>
        <w:ind w:left="1080"/>
        <w:jc w:val="both"/>
        <w:rPr>
          <w:rFonts w:ascii="Times New Roman" w:hAnsi="Times New Roman" w:cs="Times New Roman"/>
          <w:sz w:val="20"/>
          <w:szCs w:val="20"/>
        </w:rPr>
      </w:pPr>
    </w:p>
    <w:p w14:paraId="73A8CE1E" w14:textId="77777777" w:rsidR="005218A2" w:rsidRPr="00EB581D" w:rsidRDefault="005218A2" w:rsidP="005218A2">
      <w:pPr>
        <w:pStyle w:val="ListParagraph"/>
        <w:numPr>
          <w:ilvl w:val="0"/>
          <w:numId w:val="1"/>
        </w:numPr>
        <w:spacing w:after="0" w:line="240" w:lineRule="auto"/>
        <w:jc w:val="both"/>
        <w:rPr>
          <w:rFonts w:ascii="Times New Roman" w:hAnsi="Times New Roman" w:cs="Times New Roman"/>
          <w:sz w:val="20"/>
          <w:szCs w:val="20"/>
        </w:rPr>
      </w:pPr>
      <w:r w:rsidRPr="00EB581D">
        <w:rPr>
          <w:rFonts w:ascii="Times New Roman" w:hAnsi="Times New Roman" w:cs="Times New Roman"/>
          <w:sz w:val="20"/>
          <w:szCs w:val="20"/>
        </w:rPr>
        <w:t>As the next steps in MSE implementation and taking into account the inputs mentioned above, as soon as feasible for stocks subject to assessment and where possible, the SCRS shall advise the Commission on options for limit, target and threshold reference points and associated HCRs. In 2016, the SCRS will start by evaluating candidate HCRs during the assessment process planned for the northern albacore stock and will provide the Commission with a 5-year schedule for the establishment of species-specific HCRs.</w:t>
      </w:r>
    </w:p>
    <w:p w14:paraId="2DF8540E" w14:textId="77777777" w:rsidR="005218A2" w:rsidRPr="00EB581D" w:rsidRDefault="005218A2" w:rsidP="005218A2">
      <w:pPr>
        <w:spacing w:after="0" w:line="240" w:lineRule="auto"/>
        <w:jc w:val="both"/>
        <w:rPr>
          <w:rFonts w:ascii="Times New Roman" w:hAnsi="Times New Roman" w:cs="Times New Roman"/>
          <w:sz w:val="20"/>
          <w:szCs w:val="20"/>
        </w:rPr>
      </w:pPr>
    </w:p>
    <w:p w14:paraId="2ABD5A01" w14:textId="77777777" w:rsidR="005218A2" w:rsidRPr="00EB581D" w:rsidRDefault="005218A2" w:rsidP="005218A2">
      <w:pPr>
        <w:pStyle w:val="ListParagraph"/>
        <w:numPr>
          <w:ilvl w:val="0"/>
          <w:numId w:val="1"/>
        </w:numPr>
        <w:spacing w:after="0" w:line="240" w:lineRule="auto"/>
        <w:jc w:val="both"/>
        <w:rPr>
          <w:rFonts w:ascii="Times New Roman" w:hAnsi="Times New Roman" w:cs="Times New Roman"/>
          <w:sz w:val="20"/>
          <w:szCs w:val="20"/>
        </w:rPr>
      </w:pPr>
      <w:r w:rsidRPr="00EB581D">
        <w:rPr>
          <w:rFonts w:ascii="Times New Roman" w:hAnsi="Times New Roman" w:cs="Times New Roman"/>
          <w:sz w:val="20"/>
          <w:szCs w:val="20"/>
        </w:rPr>
        <w:t xml:space="preserve">In light of SCRS advice and in establishing the HCR for a particular stock, the Commission shall then determine pre-agreed management actions that will be triggered to halt or reduce fishing mortality if limit or threshold reference points are breached. When defining those actions, principles, included in </w:t>
      </w:r>
      <w:r w:rsidRPr="00EB581D">
        <w:rPr>
          <w:rFonts w:ascii="Times New Roman" w:hAnsi="Times New Roman" w:cs="Times New Roman"/>
          <w:b/>
          <w:sz w:val="20"/>
          <w:szCs w:val="20"/>
        </w:rPr>
        <w:t>Annex 1</w:t>
      </w:r>
      <w:r w:rsidRPr="00EB581D">
        <w:rPr>
          <w:rFonts w:ascii="Times New Roman" w:hAnsi="Times New Roman" w:cs="Times New Roman"/>
          <w:sz w:val="20"/>
          <w:szCs w:val="20"/>
        </w:rPr>
        <w:t>, might be taken into account by the Commission together with the requirements of Rec. [11-13].</w:t>
      </w:r>
    </w:p>
    <w:p w14:paraId="3D32A5B1" w14:textId="77777777" w:rsidR="005218A2" w:rsidRPr="00EB581D" w:rsidRDefault="005218A2" w:rsidP="005218A2">
      <w:pPr>
        <w:spacing w:after="0" w:line="240" w:lineRule="auto"/>
        <w:jc w:val="both"/>
        <w:rPr>
          <w:rFonts w:ascii="Times New Roman" w:hAnsi="Times New Roman" w:cs="Times New Roman"/>
          <w:sz w:val="20"/>
          <w:szCs w:val="20"/>
        </w:rPr>
      </w:pPr>
    </w:p>
    <w:p w14:paraId="5B0B3C29" w14:textId="77777777" w:rsidR="005218A2" w:rsidRPr="00EB581D" w:rsidRDefault="005218A2" w:rsidP="005218A2">
      <w:pPr>
        <w:pStyle w:val="ListParagraph"/>
        <w:numPr>
          <w:ilvl w:val="0"/>
          <w:numId w:val="1"/>
        </w:numPr>
        <w:spacing w:after="0" w:line="240" w:lineRule="auto"/>
        <w:jc w:val="both"/>
        <w:rPr>
          <w:rFonts w:ascii="Times New Roman" w:hAnsi="Times New Roman" w:cs="Times New Roman"/>
          <w:sz w:val="20"/>
          <w:szCs w:val="20"/>
        </w:rPr>
      </w:pPr>
      <w:r w:rsidRPr="00EB581D">
        <w:rPr>
          <w:rFonts w:ascii="Times New Roman" w:hAnsi="Times New Roman" w:cs="Times New Roman"/>
          <w:sz w:val="20"/>
          <w:szCs w:val="20"/>
        </w:rPr>
        <w:t>The SCRS will be requested to continue developing appropriate MSE methods to test the robustness of alternative limit, target and threshold reference points, and associated HCRs in relation to the management objectives, probabilities and timeframes determined by the Commission.</w:t>
      </w:r>
    </w:p>
    <w:p w14:paraId="590FC7F6" w14:textId="01455AA3" w:rsidR="005218A2" w:rsidRPr="00EB581D" w:rsidRDefault="005218A2" w:rsidP="005218A2">
      <w:pPr>
        <w:rPr>
          <w:rFonts w:ascii="Times New Roman" w:hAnsi="Times New Roman" w:cs="Times New Roman"/>
          <w:sz w:val="20"/>
          <w:szCs w:val="20"/>
          <w:lang w:eastAsia="en-US" w:bidi="ar-SA"/>
        </w:rPr>
      </w:pPr>
    </w:p>
    <w:p w14:paraId="4D7704C1" w14:textId="58C17D6E" w:rsidR="005218A2" w:rsidRPr="00EB581D" w:rsidRDefault="005218A2" w:rsidP="005218A2">
      <w:pPr>
        <w:jc w:val="center"/>
        <w:rPr>
          <w:rFonts w:ascii="Times New Roman" w:hAnsi="Times New Roman" w:cs="Times New Roman"/>
          <w:b/>
          <w:smallCaps/>
          <w:sz w:val="20"/>
          <w:szCs w:val="20"/>
        </w:rPr>
      </w:pPr>
      <w:r w:rsidRPr="00EB581D">
        <w:rPr>
          <w:rFonts w:ascii="Times New Roman" w:hAnsi="Times New Roman" w:cs="Times New Roman"/>
          <w:sz w:val="20"/>
          <w:szCs w:val="20"/>
        </w:rPr>
        <w:br w:type="page"/>
      </w:r>
    </w:p>
    <w:p w14:paraId="5CB2E08D" w14:textId="77777777" w:rsidR="005218A2" w:rsidRPr="00EB581D" w:rsidRDefault="005218A2" w:rsidP="005218A2">
      <w:pPr>
        <w:spacing w:after="0" w:line="240" w:lineRule="auto"/>
        <w:jc w:val="right"/>
        <w:rPr>
          <w:rFonts w:ascii="Times New Roman" w:hAnsi="Times New Roman" w:cs="Times New Roman"/>
          <w:b/>
          <w:sz w:val="20"/>
          <w:szCs w:val="20"/>
        </w:rPr>
      </w:pPr>
      <w:r w:rsidRPr="00EB581D">
        <w:rPr>
          <w:rFonts w:ascii="Times New Roman" w:hAnsi="Times New Roman" w:cs="Times New Roman"/>
          <w:b/>
          <w:sz w:val="20"/>
          <w:szCs w:val="20"/>
        </w:rPr>
        <w:lastRenderedPageBreak/>
        <w:t>Annex 1</w:t>
      </w:r>
    </w:p>
    <w:p w14:paraId="11F5D7E7" w14:textId="77777777" w:rsidR="005218A2" w:rsidRPr="00EB581D" w:rsidRDefault="005218A2" w:rsidP="005218A2">
      <w:pPr>
        <w:spacing w:after="0" w:line="240" w:lineRule="auto"/>
        <w:jc w:val="right"/>
        <w:rPr>
          <w:rFonts w:ascii="Times New Roman" w:hAnsi="Times New Roman" w:cs="Times New Roman"/>
          <w:b/>
          <w:sz w:val="20"/>
          <w:szCs w:val="20"/>
        </w:rPr>
      </w:pPr>
    </w:p>
    <w:p w14:paraId="69FE3887" w14:textId="555D758C" w:rsidR="005218A2" w:rsidRPr="00EB581D" w:rsidRDefault="005218A2" w:rsidP="005218A2">
      <w:pPr>
        <w:spacing w:after="0" w:line="240" w:lineRule="auto"/>
        <w:jc w:val="both"/>
        <w:rPr>
          <w:rFonts w:ascii="Times New Roman" w:hAnsi="Times New Roman" w:cs="Times New Roman"/>
          <w:sz w:val="20"/>
          <w:szCs w:val="20"/>
        </w:rPr>
      </w:pPr>
      <w:r w:rsidRPr="00EB581D">
        <w:rPr>
          <w:rFonts w:ascii="Times New Roman" w:hAnsi="Times New Roman" w:cs="Times New Roman"/>
          <w:sz w:val="20"/>
          <w:szCs w:val="20"/>
        </w:rPr>
        <w:t xml:space="preserve">When determining pre-agreed management actions associated to HCRs and reference points, Panels might refer to the following principles </w:t>
      </w:r>
    </w:p>
    <w:p w14:paraId="58CB79C5" w14:textId="77777777" w:rsidR="005218A2" w:rsidRPr="00EB581D" w:rsidRDefault="005218A2" w:rsidP="005218A2">
      <w:pPr>
        <w:pStyle w:val="ListParagraph"/>
        <w:spacing w:after="0" w:line="240" w:lineRule="auto"/>
        <w:ind w:left="1080"/>
        <w:jc w:val="both"/>
        <w:rPr>
          <w:rFonts w:ascii="Times New Roman" w:hAnsi="Times New Roman" w:cs="Times New Roman"/>
          <w:sz w:val="20"/>
          <w:szCs w:val="20"/>
        </w:rPr>
      </w:pPr>
    </w:p>
    <w:p w14:paraId="110B5588" w14:textId="77777777" w:rsidR="005218A2" w:rsidRPr="00EB581D" w:rsidRDefault="005218A2" w:rsidP="00E97BBE">
      <w:pPr>
        <w:pStyle w:val="ListParagraph"/>
        <w:numPr>
          <w:ilvl w:val="0"/>
          <w:numId w:val="6"/>
        </w:numPr>
        <w:spacing w:after="0" w:line="240" w:lineRule="auto"/>
        <w:ind w:left="851" w:hanging="284"/>
        <w:jc w:val="both"/>
        <w:rPr>
          <w:rFonts w:ascii="Times New Roman" w:hAnsi="Times New Roman" w:cs="Times New Roman"/>
          <w:sz w:val="20"/>
          <w:szCs w:val="20"/>
        </w:rPr>
      </w:pPr>
      <w:r w:rsidRPr="00EB581D">
        <w:rPr>
          <w:rFonts w:ascii="Times New Roman" w:hAnsi="Times New Roman" w:cs="Times New Roman"/>
          <w:sz w:val="20"/>
          <w:szCs w:val="20"/>
        </w:rPr>
        <w:t>In the case where the stock biomass is assessed as being above B</w:t>
      </w:r>
      <w:r w:rsidRPr="00EB581D">
        <w:rPr>
          <w:rFonts w:ascii="Times New Roman" w:hAnsi="Times New Roman" w:cs="Times New Roman"/>
          <w:sz w:val="20"/>
          <w:szCs w:val="20"/>
          <w:vertAlign w:val="subscript"/>
        </w:rPr>
        <w:t>THRESHOLD</w:t>
      </w:r>
      <w:r w:rsidRPr="00EB581D">
        <w:rPr>
          <w:rFonts w:ascii="Times New Roman" w:hAnsi="Times New Roman" w:cs="Times New Roman"/>
          <w:sz w:val="20"/>
          <w:szCs w:val="20"/>
        </w:rPr>
        <w:t>, but the fishing mortality is assessed as exceeding F</w:t>
      </w:r>
      <w:r w:rsidRPr="00EB581D">
        <w:rPr>
          <w:rFonts w:ascii="Times New Roman" w:hAnsi="Times New Roman" w:cs="Times New Roman"/>
          <w:sz w:val="20"/>
          <w:szCs w:val="20"/>
          <w:vertAlign w:val="subscript"/>
        </w:rPr>
        <w:t>TARGET</w:t>
      </w:r>
      <w:r w:rsidRPr="00EB581D">
        <w:rPr>
          <w:rFonts w:ascii="Times New Roman" w:hAnsi="Times New Roman" w:cs="Times New Roman"/>
          <w:sz w:val="20"/>
          <w:szCs w:val="20"/>
        </w:rPr>
        <w:t>, management actions shall be adopted to reduce the fishing mortality rate in as short a period as possible to F</w:t>
      </w:r>
      <w:r w:rsidRPr="00EB581D">
        <w:rPr>
          <w:rFonts w:ascii="Times New Roman" w:hAnsi="Times New Roman" w:cs="Times New Roman"/>
          <w:sz w:val="20"/>
          <w:szCs w:val="20"/>
          <w:vertAlign w:val="subscript"/>
        </w:rPr>
        <w:t>TARGET</w:t>
      </w:r>
      <w:r w:rsidRPr="00EB581D">
        <w:rPr>
          <w:rFonts w:ascii="Times New Roman" w:hAnsi="Times New Roman" w:cs="Times New Roman"/>
          <w:sz w:val="20"/>
          <w:szCs w:val="20"/>
        </w:rPr>
        <w:t>.</w:t>
      </w:r>
    </w:p>
    <w:p w14:paraId="7ADD0983" w14:textId="77777777" w:rsidR="005218A2" w:rsidRPr="00EB581D" w:rsidRDefault="005218A2" w:rsidP="005218A2">
      <w:pPr>
        <w:spacing w:after="0" w:line="240" w:lineRule="auto"/>
        <w:ind w:left="1080"/>
        <w:jc w:val="both"/>
        <w:rPr>
          <w:rFonts w:ascii="Times New Roman" w:hAnsi="Times New Roman" w:cs="Times New Roman"/>
          <w:sz w:val="20"/>
          <w:szCs w:val="20"/>
        </w:rPr>
      </w:pPr>
    </w:p>
    <w:p w14:paraId="0CC2CEE5" w14:textId="77777777" w:rsidR="005218A2" w:rsidRPr="00EB581D" w:rsidRDefault="005218A2" w:rsidP="00E97BBE">
      <w:pPr>
        <w:pStyle w:val="ListParagraph"/>
        <w:numPr>
          <w:ilvl w:val="0"/>
          <w:numId w:val="6"/>
        </w:numPr>
        <w:spacing w:after="0" w:line="240" w:lineRule="auto"/>
        <w:ind w:left="851" w:hanging="284"/>
        <w:jc w:val="both"/>
        <w:rPr>
          <w:rFonts w:ascii="Times New Roman" w:hAnsi="Times New Roman" w:cs="Times New Roman"/>
          <w:sz w:val="20"/>
          <w:szCs w:val="20"/>
        </w:rPr>
      </w:pPr>
      <w:r w:rsidRPr="00EB581D">
        <w:rPr>
          <w:rFonts w:ascii="Times New Roman" w:hAnsi="Times New Roman" w:cs="Times New Roman"/>
          <w:sz w:val="20"/>
          <w:szCs w:val="20"/>
        </w:rPr>
        <w:t>In the case where the stock biomass is assessed as being below B</w:t>
      </w:r>
      <w:r w:rsidRPr="00EB581D">
        <w:rPr>
          <w:rFonts w:ascii="Times New Roman" w:hAnsi="Times New Roman" w:cs="Times New Roman"/>
          <w:sz w:val="20"/>
          <w:szCs w:val="20"/>
          <w:vertAlign w:val="subscript"/>
        </w:rPr>
        <w:t>THRESHOLD</w:t>
      </w:r>
      <w:r w:rsidRPr="00EB581D">
        <w:rPr>
          <w:rFonts w:ascii="Times New Roman" w:hAnsi="Times New Roman" w:cs="Times New Roman"/>
          <w:sz w:val="20"/>
          <w:szCs w:val="20"/>
        </w:rPr>
        <w:t>, management actions shall be implemented to reduce the fishing mortality rate in as short a period as possible to the F specified in the HCR.</w:t>
      </w:r>
    </w:p>
    <w:p w14:paraId="2887D4AD" w14:textId="77777777" w:rsidR="005218A2" w:rsidRPr="00EB581D" w:rsidRDefault="005218A2" w:rsidP="005218A2">
      <w:pPr>
        <w:spacing w:after="0" w:line="240" w:lineRule="auto"/>
        <w:ind w:left="1080"/>
        <w:jc w:val="both"/>
        <w:rPr>
          <w:rFonts w:ascii="Times New Roman" w:hAnsi="Times New Roman" w:cs="Times New Roman"/>
          <w:sz w:val="20"/>
          <w:szCs w:val="20"/>
        </w:rPr>
      </w:pPr>
    </w:p>
    <w:p w14:paraId="7DF6AE23" w14:textId="77777777" w:rsidR="005218A2" w:rsidRPr="00EB581D" w:rsidRDefault="005218A2" w:rsidP="00E97BBE">
      <w:pPr>
        <w:pStyle w:val="ListParagraph"/>
        <w:numPr>
          <w:ilvl w:val="0"/>
          <w:numId w:val="6"/>
        </w:numPr>
        <w:spacing w:after="0" w:line="240" w:lineRule="auto"/>
        <w:ind w:left="851" w:hanging="284"/>
        <w:jc w:val="both"/>
        <w:rPr>
          <w:rFonts w:ascii="Times New Roman" w:hAnsi="Times New Roman" w:cs="Times New Roman"/>
          <w:sz w:val="20"/>
          <w:szCs w:val="20"/>
        </w:rPr>
      </w:pPr>
      <w:r w:rsidRPr="00EB581D">
        <w:rPr>
          <w:rFonts w:ascii="Times New Roman" w:hAnsi="Times New Roman" w:cs="Times New Roman"/>
          <w:sz w:val="20"/>
          <w:szCs w:val="20"/>
        </w:rPr>
        <w:t>In the case where the stock biomass is assessed as being below B</w:t>
      </w:r>
      <w:r w:rsidRPr="00EB581D">
        <w:rPr>
          <w:rFonts w:ascii="Times New Roman" w:hAnsi="Times New Roman" w:cs="Times New Roman"/>
          <w:sz w:val="20"/>
          <w:szCs w:val="20"/>
          <w:vertAlign w:val="subscript"/>
        </w:rPr>
        <w:t>LIM</w:t>
      </w:r>
      <w:r w:rsidRPr="00EB581D">
        <w:rPr>
          <w:rFonts w:ascii="Times New Roman" w:hAnsi="Times New Roman" w:cs="Times New Roman"/>
          <w:sz w:val="20"/>
          <w:szCs w:val="20"/>
        </w:rPr>
        <w:t xml:space="preserve">, severe management actions shall be adopted immediately to reduce the fishing mortality rate, including, </w:t>
      </w:r>
      <w:r w:rsidRPr="00EB581D">
        <w:rPr>
          <w:rFonts w:ascii="Times New Roman" w:hAnsi="Times New Roman" w:cs="Times New Roman"/>
          <w:i/>
          <w:sz w:val="20"/>
          <w:szCs w:val="20"/>
        </w:rPr>
        <w:t>inter alia</w:t>
      </w:r>
      <w:r w:rsidRPr="00EB581D">
        <w:rPr>
          <w:rFonts w:ascii="Times New Roman" w:hAnsi="Times New Roman" w:cs="Times New Roman"/>
          <w:sz w:val="20"/>
          <w:szCs w:val="20"/>
        </w:rPr>
        <w:t>, the suspension of the fishery and the initiation of scientific monitoring.</w:t>
      </w:r>
    </w:p>
    <w:p w14:paraId="107770C0" w14:textId="77777777" w:rsidR="00C16821" w:rsidRPr="00EB581D" w:rsidRDefault="00C16821" w:rsidP="00627D30">
      <w:pPr>
        <w:spacing w:after="0" w:line="240" w:lineRule="auto"/>
        <w:jc w:val="right"/>
        <w:rPr>
          <w:rFonts w:ascii="Times New Roman" w:hAnsi="Times New Roman" w:cs="Times New Roman"/>
          <w:b/>
          <w:sz w:val="20"/>
          <w:szCs w:val="20"/>
          <w:lang w:eastAsia="en-US" w:bidi="ar-SA"/>
        </w:rPr>
      </w:pPr>
    </w:p>
    <w:sectPr w:rsidR="00C16821" w:rsidRPr="00EB581D" w:rsidSect="006E048F">
      <w:footerReference w:type="default" r:id="rId8"/>
      <w:pgSz w:w="11906" w:h="16838" w:code="9"/>
      <w:pgMar w:top="1418" w:right="1418" w:bottom="1418" w:left="1418" w:header="85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03B75" w14:textId="77777777" w:rsidR="00CE6F33" w:rsidRDefault="00CE6F33" w:rsidP="00C41F9C">
      <w:pPr>
        <w:spacing w:after="0" w:line="240" w:lineRule="auto"/>
      </w:pPr>
      <w:r>
        <w:separator/>
      </w:r>
    </w:p>
  </w:endnote>
  <w:endnote w:type="continuationSeparator" w:id="0">
    <w:p w14:paraId="19700654" w14:textId="77777777" w:rsidR="00CE6F33" w:rsidRDefault="00CE6F33" w:rsidP="00C41F9C">
      <w:pPr>
        <w:spacing w:after="0" w:line="240" w:lineRule="auto"/>
      </w:pPr>
      <w:r>
        <w:continuationSeparator/>
      </w:r>
    </w:p>
  </w:endnote>
  <w:endnote w:type="continuationNotice" w:id="1">
    <w:p w14:paraId="5A92A8D8" w14:textId="77777777" w:rsidR="00CE6F33" w:rsidRDefault="00CE6F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435282"/>
      <w:docPartObj>
        <w:docPartGallery w:val="Page Numbers (Bottom of Page)"/>
        <w:docPartUnique/>
      </w:docPartObj>
    </w:sdtPr>
    <w:sdtEndPr>
      <w:rPr>
        <w:rFonts w:ascii="Times New Roman" w:hAnsi="Times New Roman" w:cs="Times New Roman"/>
        <w:noProof/>
        <w:sz w:val="20"/>
        <w:szCs w:val="20"/>
      </w:rPr>
    </w:sdtEndPr>
    <w:sdtContent>
      <w:p w14:paraId="23862A6A" w14:textId="7F7811C0" w:rsidR="00BB2693" w:rsidRPr="00BB2693" w:rsidRDefault="00BB2693">
        <w:pPr>
          <w:pStyle w:val="Footer"/>
          <w:jc w:val="center"/>
          <w:rPr>
            <w:rFonts w:ascii="Times New Roman" w:hAnsi="Times New Roman" w:cs="Times New Roman"/>
            <w:sz w:val="20"/>
            <w:szCs w:val="20"/>
          </w:rPr>
        </w:pPr>
        <w:r w:rsidRPr="00BB2693">
          <w:rPr>
            <w:rFonts w:ascii="Times New Roman" w:hAnsi="Times New Roman" w:cs="Times New Roman"/>
            <w:sz w:val="20"/>
            <w:szCs w:val="20"/>
          </w:rPr>
          <w:fldChar w:fldCharType="begin"/>
        </w:r>
        <w:r w:rsidRPr="00BB2693">
          <w:rPr>
            <w:rFonts w:ascii="Times New Roman" w:hAnsi="Times New Roman" w:cs="Times New Roman"/>
            <w:sz w:val="20"/>
            <w:szCs w:val="20"/>
          </w:rPr>
          <w:instrText xml:space="preserve"> PAGE   \* MERGEFORMAT </w:instrText>
        </w:r>
        <w:r w:rsidRPr="00BB2693">
          <w:rPr>
            <w:rFonts w:ascii="Times New Roman" w:hAnsi="Times New Roman" w:cs="Times New Roman"/>
            <w:sz w:val="20"/>
            <w:szCs w:val="20"/>
          </w:rPr>
          <w:fldChar w:fldCharType="separate"/>
        </w:r>
        <w:r w:rsidR="006823EB">
          <w:rPr>
            <w:rFonts w:ascii="Times New Roman" w:hAnsi="Times New Roman" w:cs="Times New Roman"/>
            <w:noProof/>
            <w:sz w:val="20"/>
            <w:szCs w:val="20"/>
          </w:rPr>
          <w:t>1</w:t>
        </w:r>
        <w:r w:rsidRPr="00BB2693">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F077B" w14:textId="77777777" w:rsidR="00CE6F33" w:rsidRDefault="00CE6F33" w:rsidP="00C41F9C">
      <w:pPr>
        <w:spacing w:after="0" w:line="240" w:lineRule="auto"/>
      </w:pPr>
      <w:r>
        <w:separator/>
      </w:r>
    </w:p>
  </w:footnote>
  <w:footnote w:type="continuationSeparator" w:id="0">
    <w:p w14:paraId="1C3E0175" w14:textId="77777777" w:rsidR="00CE6F33" w:rsidRDefault="00CE6F33" w:rsidP="00C41F9C">
      <w:pPr>
        <w:spacing w:after="0" w:line="240" w:lineRule="auto"/>
      </w:pPr>
      <w:r>
        <w:continuationSeparator/>
      </w:r>
    </w:p>
  </w:footnote>
  <w:footnote w:type="continuationNotice" w:id="1">
    <w:p w14:paraId="24F6DFE0" w14:textId="77777777" w:rsidR="00CE6F33" w:rsidRDefault="00CE6F3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24E20"/>
    <w:multiLevelType w:val="hybridMultilevel"/>
    <w:tmpl w:val="4E5819F4"/>
    <w:lvl w:ilvl="0" w:tplc="FF32D630">
      <w:start w:val="1"/>
      <w:numFmt w:val="decimal"/>
      <w:lvlText w:val="%1."/>
      <w:lvlJc w:val="left"/>
      <w:pPr>
        <w:ind w:left="360" w:hanging="360"/>
      </w:pPr>
      <w:rPr>
        <w:rFonts w:ascii="Times New Roman" w:hAnsi="Times New Roman" w:cs="Times New Roman" w:hint="default"/>
        <w:sz w:val="22"/>
        <w:szCs w:val="22"/>
      </w:rPr>
    </w:lvl>
    <w:lvl w:ilvl="1" w:tplc="31EA25B2">
      <w:start w:val="1"/>
      <w:numFmt w:val="lowerLetter"/>
      <w:lvlText w:val="%2)"/>
      <w:lvlJc w:val="left"/>
      <w:pPr>
        <w:ind w:left="1080" w:hanging="360"/>
      </w:pPr>
      <w:rPr>
        <w:rFonts w:ascii="Times New Roman" w:hAnsi="Times New Roman" w:cs="Times New Roman" w:hint="default"/>
        <w:sz w:val="22"/>
        <w:szCs w:val="22"/>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050169D"/>
    <w:multiLevelType w:val="hybridMultilevel"/>
    <w:tmpl w:val="170C9EA6"/>
    <w:lvl w:ilvl="0" w:tplc="2FFE7764">
      <w:start w:val="1"/>
      <w:numFmt w:val="low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31596B0E"/>
    <w:multiLevelType w:val="hybridMultilevel"/>
    <w:tmpl w:val="11AC70A0"/>
    <w:lvl w:ilvl="0" w:tplc="CEC63DB0">
      <w:start w:val="9"/>
      <w:numFmt w:val="lowerRoman"/>
      <w:lvlText w:val="%1)"/>
      <w:lvlJc w:val="left"/>
      <w:pPr>
        <w:ind w:left="1854" w:hanging="720"/>
      </w:pPr>
      <w:rPr>
        <w:rFonts w:cs="Times New Roman" w:hint="default"/>
        <w:sz w:val="22"/>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3">
    <w:nsid w:val="3F781221"/>
    <w:multiLevelType w:val="hybridMultilevel"/>
    <w:tmpl w:val="170C9EA6"/>
    <w:lvl w:ilvl="0" w:tplc="2FFE7764">
      <w:start w:val="1"/>
      <w:numFmt w:val="low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443F5BE3"/>
    <w:multiLevelType w:val="hybridMultilevel"/>
    <w:tmpl w:val="BA0AA178"/>
    <w:lvl w:ilvl="0" w:tplc="E5CC5680">
      <w:start w:val="1"/>
      <w:numFmt w:val="lowerRoman"/>
      <w:lvlText w:val="%1)"/>
      <w:lvlJc w:val="left"/>
      <w:pPr>
        <w:ind w:left="1440" w:hanging="360"/>
      </w:pPr>
      <w:rPr>
        <w:rFonts w:hint="default"/>
        <w:sz w:val="22"/>
        <w:szCs w:val="2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616106B8"/>
    <w:multiLevelType w:val="hybridMultilevel"/>
    <w:tmpl w:val="4C4089C4"/>
    <w:lvl w:ilvl="0" w:tplc="7ECA714E">
      <w:start w:val="1"/>
      <w:numFmt w:val="lowerRoman"/>
      <w:lvlText w:val="%1)"/>
      <w:lvlJc w:val="left"/>
      <w:pPr>
        <w:ind w:left="1797" w:hanging="720"/>
      </w:pPr>
      <w:rPr>
        <w:rFonts w:hint="default"/>
      </w:rPr>
    </w:lvl>
    <w:lvl w:ilvl="1" w:tplc="0C0A0019" w:tentative="1">
      <w:start w:val="1"/>
      <w:numFmt w:val="lowerLetter"/>
      <w:lvlText w:val="%2."/>
      <w:lvlJc w:val="left"/>
      <w:pPr>
        <w:ind w:left="2157" w:hanging="360"/>
      </w:pPr>
    </w:lvl>
    <w:lvl w:ilvl="2" w:tplc="0C0A001B" w:tentative="1">
      <w:start w:val="1"/>
      <w:numFmt w:val="lowerRoman"/>
      <w:lvlText w:val="%3."/>
      <w:lvlJc w:val="right"/>
      <w:pPr>
        <w:ind w:left="2877" w:hanging="180"/>
      </w:pPr>
    </w:lvl>
    <w:lvl w:ilvl="3" w:tplc="0C0A000F" w:tentative="1">
      <w:start w:val="1"/>
      <w:numFmt w:val="decimal"/>
      <w:lvlText w:val="%4."/>
      <w:lvlJc w:val="left"/>
      <w:pPr>
        <w:ind w:left="3597" w:hanging="360"/>
      </w:pPr>
    </w:lvl>
    <w:lvl w:ilvl="4" w:tplc="0C0A0019" w:tentative="1">
      <w:start w:val="1"/>
      <w:numFmt w:val="lowerLetter"/>
      <w:lvlText w:val="%5."/>
      <w:lvlJc w:val="left"/>
      <w:pPr>
        <w:ind w:left="4317" w:hanging="360"/>
      </w:pPr>
    </w:lvl>
    <w:lvl w:ilvl="5" w:tplc="0C0A001B" w:tentative="1">
      <w:start w:val="1"/>
      <w:numFmt w:val="lowerRoman"/>
      <w:lvlText w:val="%6."/>
      <w:lvlJc w:val="right"/>
      <w:pPr>
        <w:ind w:left="5037" w:hanging="180"/>
      </w:pPr>
    </w:lvl>
    <w:lvl w:ilvl="6" w:tplc="0C0A000F" w:tentative="1">
      <w:start w:val="1"/>
      <w:numFmt w:val="decimal"/>
      <w:lvlText w:val="%7."/>
      <w:lvlJc w:val="left"/>
      <w:pPr>
        <w:ind w:left="5757" w:hanging="360"/>
      </w:pPr>
    </w:lvl>
    <w:lvl w:ilvl="7" w:tplc="0C0A0019" w:tentative="1">
      <w:start w:val="1"/>
      <w:numFmt w:val="lowerLetter"/>
      <w:lvlText w:val="%8."/>
      <w:lvlJc w:val="left"/>
      <w:pPr>
        <w:ind w:left="6477" w:hanging="360"/>
      </w:pPr>
    </w:lvl>
    <w:lvl w:ilvl="8" w:tplc="0C0A001B" w:tentative="1">
      <w:start w:val="1"/>
      <w:numFmt w:val="lowerRoman"/>
      <w:lvlText w:val="%9."/>
      <w:lvlJc w:val="right"/>
      <w:pPr>
        <w:ind w:left="7197" w:hanging="180"/>
      </w:pPr>
    </w:lvl>
  </w:abstractNum>
  <w:abstractNum w:abstractNumId="6">
    <w:nsid w:val="74C16924"/>
    <w:multiLevelType w:val="hybridMultilevel"/>
    <w:tmpl w:val="AF84DC04"/>
    <w:lvl w:ilvl="0" w:tplc="2FFE7764">
      <w:start w:val="1"/>
      <w:numFmt w:val="lowerRoman"/>
      <w:lvlText w:val="%1)"/>
      <w:lvlJc w:val="left"/>
      <w:pPr>
        <w:ind w:left="1571" w:hanging="72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num w:numId="1">
    <w:abstractNumId w:val="0"/>
  </w:num>
  <w:num w:numId="2">
    <w:abstractNumId w:val="6"/>
  </w:num>
  <w:num w:numId="3">
    <w:abstractNumId w:val="5"/>
  </w:num>
  <w:num w:numId="4">
    <w:abstractNumId w:val="3"/>
  </w:num>
  <w:num w:numId="5">
    <w:abstractNumId w:val="4"/>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8D2C97"/>
    <w:rsid w:val="00006582"/>
    <w:rsid w:val="000173CB"/>
    <w:rsid w:val="00064A14"/>
    <w:rsid w:val="000B11D4"/>
    <w:rsid w:val="00115472"/>
    <w:rsid w:val="00142A71"/>
    <w:rsid w:val="00172B33"/>
    <w:rsid w:val="001819C1"/>
    <w:rsid w:val="00183FB2"/>
    <w:rsid w:val="001A59FE"/>
    <w:rsid w:val="001D0545"/>
    <w:rsid w:val="001D3E0F"/>
    <w:rsid w:val="001D5DBE"/>
    <w:rsid w:val="001E3D3A"/>
    <w:rsid w:val="002460BD"/>
    <w:rsid w:val="00271D51"/>
    <w:rsid w:val="002A2762"/>
    <w:rsid w:val="002C2883"/>
    <w:rsid w:val="002C48AC"/>
    <w:rsid w:val="002C4C9B"/>
    <w:rsid w:val="002D7F79"/>
    <w:rsid w:val="003050DF"/>
    <w:rsid w:val="003053B6"/>
    <w:rsid w:val="00313700"/>
    <w:rsid w:val="00327787"/>
    <w:rsid w:val="003368CF"/>
    <w:rsid w:val="003829BD"/>
    <w:rsid w:val="00390226"/>
    <w:rsid w:val="00390CF2"/>
    <w:rsid w:val="003B12E1"/>
    <w:rsid w:val="003C0A6C"/>
    <w:rsid w:val="003C1C9B"/>
    <w:rsid w:val="003F3B5D"/>
    <w:rsid w:val="004124CC"/>
    <w:rsid w:val="004352D6"/>
    <w:rsid w:val="004740F1"/>
    <w:rsid w:val="004B4E19"/>
    <w:rsid w:val="004E25F6"/>
    <w:rsid w:val="004F6084"/>
    <w:rsid w:val="005047AF"/>
    <w:rsid w:val="005076DA"/>
    <w:rsid w:val="00512930"/>
    <w:rsid w:val="005218A2"/>
    <w:rsid w:val="00564361"/>
    <w:rsid w:val="00575AF3"/>
    <w:rsid w:val="00594465"/>
    <w:rsid w:val="005C5609"/>
    <w:rsid w:val="005D3894"/>
    <w:rsid w:val="005D7292"/>
    <w:rsid w:val="005E4E63"/>
    <w:rsid w:val="00620941"/>
    <w:rsid w:val="00627D30"/>
    <w:rsid w:val="006327EF"/>
    <w:rsid w:val="00680EDA"/>
    <w:rsid w:val="006823EB"/>
    <w:rsid w:val="006B3719"/>
    <w:rsid w:val="006D7483"/>
    <w:rsid w:val="006E048F"/>
    <w:rsid w:val="0070245F"/>
    <w:rsid w:val="00702F17"/>
    <w:rsid w:val="00706B80"/>
    <w:rsid w:val="00761316"/>
    <w:rsid w:val="007A7D5E"/>
    <w:rsid w:val="007D5571"/>
    <w:rsid w:val="00826A2B"/>
    <w:rsid w:val="008348D6"/>
    <w:rsid w:val="0084220A"/>
    <w:rsid w:val="008540C6"/>
    <w:rsid w:val="00875881"/>
    <w:rsid w:val="0088247D"/>
    <w:rsid w:val="008D061E"/>
    <w:rsid w:val="008D07DA"/>
    <w:rsid w:val="008D2C97"/>
    <w:rsid w:val="008E7A7C"/>
    <w:rsid w:val="008F4A01"/>
    <w:rsid w:val="00933B0E"/>
    <w:rsid w:val="00943772"/>
    <w:rsid w:val="009501EE"/>
    <w:rsid w:val="0095056C"/>
    <w:rsid w:val="00983BC3"/>
    <w:rsid w:val="00984100"/>
    <w:rsid w:val="00987D5E"/>
    <w:rsid w:val="009A1334"/>
    <w:rsid w:val="009B3391"/>
    <w:rsid w:val="009D7534"/>
    <w:rsid w:val="009E2710"/>
    <w:rsid w:val="009E4100"/>
    <w:rsid w:val="009F0DAF"/>
    <w:rsid w:val="00A055D7"/>
    <w:rsid w:val="00A16BD8"/>
    <w:rsid w:val="00A445EB"/>
    <w:rsid w:val="00AB1763"/>
    <w:rsid w:val="00AB566D"/>
    <w:rsid w:val="00AE4B77"/>
    <w:rsid w:val="00B052A1"/>
    <w:rsid w:val="00B15E05"/>
    <w:rsid w:val="00B170BD"/>
    <w:rsid w:val="00B30E53"/>
    <w:rsid w:val="00B332AC"/>
    <w:rsid w:val="00B46BBF"/>
    <w:rsid w:val="00B51EF9"/>
    <w:rsid w:val="00B5578F"/>
    <w:rsid w:val="00B56612"/>
    <w:rsid w:val="00B61502"/>
    <w:rsid w:val="00B754FA"/>
    <w:rsid w:val="00BB2693"/>
    <w:rsid w:val="00BD2E69"/>
    <w:rsid w:val="00C017DD"/>
    <w:rsid w:val="00C16821"/>
    <w:rsid w:val="00C41F9C"/>
    <w:rsid w:val="00C86558"/>
    <w:rsid w:val="00C92E09"/>
    <w:rsid w:val="00CA2CDF"/>
    <w:rsid w:val="00CD193D"/>
    <w:rsid w:val="00CE6F33"/>
    <w:rsid w:val="00D269C0"/>
    <w:rsid w:val="00D51D85"/>
    <w:rsid w:val="00D6487F"/>
    <w:rsid w:val="00DB05AC"/>
    <w:rsid w:val="00DB12DB"/>
    <w:rsid w:val="00E02FE3"/>
    <w:rsid w:val="00E14D68"/>
    <w:rsid w:val="00E5486D"/>
    <w:rsid w:val="00E7201E"/>
    <w:rsid w:val="00E8381F"/>
    <w:rsid w:val="00E8537C"/>
    <w:rsid w:val="00E94C9C"/>
    <w:rsid w:val="00E97BBE"/>
    <w:rsid w:val="00EB581D"/>
    <w:rsid w:val="00EC23FA"/>
    <w:rsid w:val="00EF164A"/>
    <w:rsid w:val="00F33642"/>
    <w:rsid w:val="00F3484C"/>
    <w:rsid w:val="00F8205D"/>
    <w:rsid w:val="00F9792A"/>
    <w:rsid w:val="00FA170A"/>
    <w:rsid w:val="00FD2F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en-GB"/>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F9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1F9C"/>
  </w:style>
  <w:style w:type="paragraph" w:styleId="Footer">
    <w:name w:val="footer"/>
    <w:basedOn w:val="Normal"/>
    <w:link w:val="FooterChar"/>
    <w:uiPriority w:val="99"/>
    <w:unhideWhenUsed/>
    <w:rsid w:val="00C41F9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1F9C"/>
  </w:style>
  <w:style w:type="paragraph" w:styleId="BalloonText">
    <w:name w:val="Balloon Text"/>
    <w:basedOn w:val="Normal"/>
    <w:link w:val="BalloonTextChar"/>
    <w:uiPriority w:val="99"/>
    <w:semiHidden/>
    <w:unhideWhenUsed/>
    <w:rsid w:val="00B05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A1"/>
    <w:rPr>
      <w:rFonts w:ascii="Tahoma" w:hAnsi="Tahoma" w:cs="Tahoma"/>
      <w:sz w:val="16"/>
      <w:szCs w:val="16"/>
    </w:rPr>
  </w:style>
  <w:style w:type="paragraph" w:styleId="ListParagraph">
    <w:name w:val="List Paragraph"/>
    <w:basedOn w:val="Normal"/>
    <w:uiPriority w:val="34"/>
    <w:qFormat/>
    <w:rsid w:val="00B56612"/>
    <w:pPr>
      <w:ind w:left="720"/>
      <w:contextualSpacing/>
    </w:pPr>
    <w:rPr>
      <w:lang w:eastAsia="en-US" w:bidi="ar-SA"/>
    </w:rPr>
  </w:style>
  <w:style w:type="table" w:styleId="TableGrid">
    <w:name w:val="Table Grid"/>
    <w:basedOn w:val="TableNormal"/>
    <w:uiPriority w:val="59"/>
    <w:rsid w:val="00B56612"/>
    <w:pPr>
      <w:spacing w:after="0" w:line="240" w:lineRule="auto"/>
    </w:pPr>
    <w:rPr>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2F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en-GB"/>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F9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1F9C"/>
  </w:style>
  <w:style w:type="paragraph" w:styleId="Footer">
    <w:name w:val="footer"/>
    <w:basedOn w:val="Normal"/>
    <w:link w:val="FooterChar"/>
    <w:uiPriority w:val="99"/>
    <w:unhideWhenUsed/>
    <w:rsid w:val="00C41F9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1F9C"/>
  </w:style>
  <w:style w:type="paragraph" w:styleId="BalloonText">
    <w:name w:val="Balloon Text"/>
    <w:basedOn w:val="Normal"/>
    <w:link w:val="BalloonTextChar"/>
    <w:uiPriority w:val="99"/>
    <w:semiHidden/>
    <w:unhideWhenUsed/>
    <w:rsid w:val="00B05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A1"/>
    <w:rPr>
      <w:rFonts w:ascii="Tahoma" w:hAnsi="Tahoma" w:cs="Tahoma"/>
      <w:sz w:val="16"/>
      <w:szCs w:val="16"/>
    </w:rPr>
  </w:style>
  <w:style w:type="paragraph" w:styleId="ListParagraph">
    <w:name w:val="List Paragraph"/>
    <w:basedOn w:val="Normal"/>
    <w:uiPriority w:val="34"/>
    <w:qFormat/>
    <w:rsid w:val="00B56612"/>
    <w:pPr>
      <w:ind w:left="720"/>
      <w:contextualSpacing/>
    </w:pPr>
    <w:rPr>
      <w:lang w:eastAsia="en-US" w:bidi="ar-SA"/>
    </w:rPr>
  </w:style>
  <w:style w:type="table" w:styleId="TableGrid">
    <w:name w:val="Table Grid"/>
    <w:basedOn w:val="TableNormal"/>
    <w:uiPriority w:val="59"/>
    <w:rsid w:val="00B56612"/>
    <w:pPr>
      <w:spacing w:after="0" w:line="240" w:lineRule="auto"/>
    </w:pPr>
    <w:rPr>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2F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4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2015-11-13T19:21:00Z</dcterms:created>
  <dcterms:modified xsi:type="dcterms:W3CDTF">2015-11-24T09:06:00Z</dcterms:modified>
</cp:coreProperties>
</file>