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Network Peering Lifecycle — End-to-End Process Document</w:t>
      </w:r>
    </w:p>
    <w:p>
      <w:pPr>
        <w:jc w:val="center"/>
      </w:pPr>
      <w:r>
        <w:t>Process-Ify Regenerated Document</w:t>
      </w:r>
    </w:p>
    <w:p>
      <w:pPr>
        <w:pStyle w:val="Heading1"/>
      </w:pPr>
      <w:r>
        <w:t>FEDERAL NETWORK PEERING LIFECYCLE (FNPL)</w:t>
      </w:r>
    </w:p>
    <w:p>
      <w:r>
        <w:t>**Document Control &amp; Process Specification**</w:t>
      </w:r>
    </w:p>
    <w:p>
      <w:r>
        <w:t>---</w:t>
      </w:r>
    </w:p>
    <w:p>
      <w:pPr>
        <w:pStyle w:val="Heading2"/>
      </w:pPr>
      <w:r>
        <w:t>1. Cover Page</w:t>
      </w:r>
    </w:p>
    <w:p>
      <w:r>
        <w:t>| **Project Title** | Federal Network Peering Lifecycle (FNPL) |</w:t>
      </w:r>
    </w:p>
    <w:p>
      <w:r>
        <w:t>| :--- | :--- |</w:t>
      </w:r>
    </w:p>
    <w:p>
      <w:r>
        <w:t>| **Industry Sector** | Telecommunications / Government Infrastructure |</w:t>
      </w:r>
    </w:p>
    <w:p>
      <w:r>
        <w:t>| **Classification Level** | //NOFORN //CONSIDER FOR OFFICIAL USE ONLY//RESTRICTED |</w:t>
      </w:r>
    </w:p>
    <w:p>
      <w:r>
        <w:t>| **Document ID** | FNPL-PROC-2026-01 |</w:t>
      </w:r>
    </w:p>
    <w:p>
      <w:r>
        <w:t>| **Date Issued** | June 27, 2026 |</w:t>
      </w:r>
    </w:p>
    <w:p>
      <w:r>
        <w:t>| **Status** | Active / Approved for Implementation |</w:t>
      </w:r>
    </w:p>
    <w:p>
      <w:r>
        <w:t>| **Version Control** | v1.0 (AI-enabled via Process-Ify) |</w:t>
      </w:r>
    </w:p>
    <w:p>
      <w:r>
        <w:t>&gt; **WARNING:** Unauthorized reproduction, distribution, or dissemination of this document is strictly prohibited in accordance with Executive Order 13526 and relevant federal information security regulations. This process governs the interconnection of critical national infrastructure networks requiring high-integrity authentication and routing protocols.</w:t>
      </w:r>
    </w:p>
    <w:p>
      <w:r>
        <w:t>---</w:t>
      </w:r>
    </w:p>
    <w:p>
      <w:pPr>
        <w:pStyle w:val="Heading2"/>
      </w:pPr>
      <w:r>
        <w:t>2. Executive Summary</w:t>
      </w:r>
    </w:p>
    <w:p>
      <w:r>
        <w:t>The Federal Network Peering Lifecycle (FNPL) defines the rigorous, end-to-end operational framework for establishing, maintaining, and de-commissioning peering relationships between federal agency networks and designated third-party telecommunications providers or other government entities. This document serves as the authoritative standard for ensuring network interoperability while adhering to strict data sovereignty, security posture, and latency requirements inherent to the U.S. Federal Telecommunications Infrastructure (FTI). The lifecycle addresses every stage from initial feasibility analysis through final technical decommissioning, enforcing a "secure by design" approach at each juncture.</w:t>
      </w:r>
    </w:p>
    <w:p>
      <w:r>
        <w:t>The FNPL workflow is structured into six distinct phases: Initiation &amp; Feasibility, Security Architecture Design, Commercial Negotiation &amp; SLA Finalization, Operational Commissioning (Cutover), Lifecycle Management (Stewardship), and Decommissioning/Transition. Each phase involves specific roles—from the Network Architect to the Chief Information Security Officer—who are accountable for producing validated deliverables using standardized forms. Critical handoff checklists ensure that no security controls or contractual obligations lapse between phases, mitigating risks associated with unauthorized data exfiltration or routing leaks during transition periods.</w:t>
      </w:r>
    </w:p>
    <w:p>
      <w:r>
        <w:t>By synthesizing technical engineering constraints with legal compliance mandates and financial oversight requirements, this document provides a unified mechanism for federal stakeholders to execute peering initiatives efficiently. The implementation of FNPL eliminates ad-hoc connection methods that compromise network integrity, replacing them with a repeatable process guaranteed by the defined role matrix and form-based documentation standards. Adherence to this protocol is mandatory for all contracting agencies involved in FTI expansion or consolidation projects.</w:t>
      </w:r>
    </w:p>
    <w:p>
      <w:r>
        <w:t>---</w:t>
      </w:r>
    </w:p>
    <w:p>
      <w:pPr>
        <w:pStyle w:val="Heading2"/>
      </w:pPr>
      <w:r>
        <w:t>3. Table of Contents</w:t>
      </w:r>
    </w:p>
    <w:p>
      <w:r>
        <w:t>1. **Cover Page**</w:t>
      </w:r>
    </w:p>
    <w:p>
      <w:r>
        <w:t>2. **Executive Summary**</w:t>
      </w:r>
    </w:p>
    <w:p>
      <w:r>
        <w:t>3. **Table of Contents**</w:t>
      </w:r>
    </w:p>
    <w:p>
      <w:r>
        <w:t>4. **Phase I: Initiation &amp; Feasibility Analysis**</w:t>
      </w:r>
    </w:p>
    <w:p>
      <w:r>
        <w:t>5. **Handoff Checklist: Phase I to II**</w:t>
      </w:r>
    </w:p>
    <w:p>
      <w:r>
        <w:t>6. **Phase II: Security Architecture Design &amp; Validation**</w:t>
      </w:r>
    </w:p>
    <w:p>
      <w:r>
        <w:t>7. **Handoff Checklist: Phase II to III**</w:t>
      </w:r>
    </w:p>
    <w:p>
      <w:r>
        <w:t>8. **Phase III: Commercial Negotiation, Legal Review &amp; SLA Finalization**</w:t>
      </w:r>
    </w:p>
    <w:p>
      <w:r>
        <w:t>9. **Handoff Checklist: Phase III to IV**</w:t>
      </w:r>
    </w:p>
    <w:p>
      <w:r>
        <w:t>10. **Phase IV: Operational Commissioning (Cutover) &amp; Verification**</w:t>
      </w:r>
    </w:p>
    <w:p>
      <w:r>
        <w:t>11. **Handoff Checklist: Phase IV to V**</w:t>
      </w:r>
    </w:p>
    <w:p>
      <w:r>
        <w:t>12. **Phase V: Lifecycle Management, Stewardship &amp; Optimization**</w:t>
      </w:r>
    </w:p>
    <w:p>
      <w:r>
        <w:t>13. **Handoff Checklist: Phase V to VI**</w:t>
      </w:r>
    </w:p>
    <w:p>
      <w:r>
        <w:t>14. **Phase VI: Decommissioning Transition &amp; Archival**</w:t>
      </w:r>
    </w:p>
    <w:p>
      <w:r>
        <w:t>15. **Appendix A: Forms Index**</w:t>
      </w:r>
    </w:p>
    <w:p>
      <w:r>
        <w:t>16. **Appendix B: Role Matrix**</w:t>
      </w:r>
    </w:p>
    <w:p>
      <w:r>
        <w:t>17. **Version History**</w:t>
      </w:r>
    </w:p>
    <w:p>
      <w:r>
        <w:t>---</w:t>
      </w:r>
    </w:p>
    <w:p>
      <w:pPr>
        <w:pStyle w:val="Heading2"/>
      </w:pPr>
      <w:r>
        <w:t>4. Operational Phases and Workflows</w:t>
      </w:r>
    </w:p>
    <w:p>
      <w:pPr>
        <w:pStyle w:val="Heading3"/>
      </w:pPr>
      <w:r>
        <w:t>Phase I: Initiation &amp; Feasibility Analysis</w:t>
      </w:r>
    </w:p>
    <w:p>
      <w:r>
        <w:t>*Objective:* Determine the strategic necessity, technical viability, and potential risk profile of a new peering relationship before resource allocation begins.*</w:t>
      </w:r>
    </w:p>
    <w:p>
      <w:r>
        <w:t>| Workflow Step | Action Description | Responsible Role(s) | Required Forms/Deliverables |</w:t>
      </w:r>
    </w:p>
    <w:p>
      <w:r>
        <w:t>| :--- | :--- | :--- | :--- | **Form I-01:**&lt;br&gt;Feasibility Study Request (FSR)&lt;br&gt;**Form I-02:**&lt;br&gt;Initial Risk Assessment Matrix (IRM) | 1. Identify business drivers for peering (e.g., latency reduction, capacity relief).&lt;br&gt;2. Conduct preliminary network topology analysis.&lt;br&gt;3. Screen counterpart entity against the Federal Supplier Risk Management System (FSRMS).&lt;br&gt;4. Evaluate current bandwidth utilization trends projecting growth over 5 years.&lt;br&gt;5. Draft initial cost-benefit analysis including CAPEX and OPEX estimates. | **Form I-01:** FSR&lt;br&gt;**Form I-02:** IRM |</w:t>
      </w:r>
    </w:p>
    <w:p>
      <w:r>
        <w:t>| Step Review &amp; Approval | Submit findings to the Peering Oversight Committee (POC) for approval to proceed.&lt;br&gt;Reject request if security risk exceeds defined thresholds or business justification is insufficient. | **CIO / CISO**&lt;br&gt;**Peering Program Manager** | N/A | Sign-off on FSR-01 and IRM-02 via digital workflow system. If approved, generate Authorization-to-Proceed (ATP) memo attached to Form I-03. |</w:t>
      </w:r>
    </w:p>
    <w:p>
      <w:r>
        <w:t>---</w:t>
      </w:r>
    </w:p>
    <w:p>
      <w:pPr>
        <w:pStyle w:val="Heading3"/>
      </w:pPr>
      <w:r>
        <w:t>Phase II: Security Architecture Design &amp; Validation</w:t>
      </w:r>
    </w:p>
    <w:p>
      <w:r>
        <w:t>*Objective:* Define the technical controls, routing policies, and security protocols required for the new peering link.*</w:t>
      </w:r>
    </w:p>
    <w:p>
      <w:r>
        <w:t>| Workflow Step | Action Description | Responsible Role(s) | Required Forms/Deliverables |</w:t>
      </w:r>
    </w:p>
    <w:p>
      <w:r>
        <w:t>| :--- | :--- | :--- | :--- | **Form II-01:**&lt;br&gt;Peering Security Architecture Specification (PSAS)&lt;br&gt;**Form II-02:**&lt;br&gt;BGP Policy Definition Sheet&lt;br&gt;**Form II-03:**&lt;br&gt;Certification Authority (CA) Registration Request | 1. Design BFD (Bidirectional Forwarding Detection) and OSPF/BGP peering session parameters.&lt;br&gt;2. Define Route Filtering policies to prevent route leaks or hijacking (e.g., prefix lists, as-path filters).&lt;br&gt;3. Specify encryption standards for management planes and traffic segmentation requirements.&lt;br&gt;4. Select Public Key Infrastructure (PKI) certificates from the Federal PKI Authority (FedCA).&lt;br&gt;5. Design physical cabling path verification plans or logical VLAN assignment strategies. | **Form II-01:** PSAS&lt;br&gt;**Form II-02:** BPDS&lt;br&gt;**Form II-03:** CA-RQF |</w:t>
      </w:r>
    </w:p>
    <w:p>
      <w:r>
        <w:t>| Technical Review Board | Submit architectural designs to the Independent Security Assurance Team (ISAT) for review.&lt;br&gt;Resolve all identified gaps in security controls prior to moving to commercial negotiation. | **Lead Network Architect**&lt;br&gt;**Security Engineer** | N/A | ISAT Sign-off on PSAS and BPDS. Generation of "Design Validation Report" confirming compliance with NIST SP 800-53 controls relevant to networking. |</w:t>
      </w:r>
    </w:p>
    <w:p>
      <w:r>
        <w:t>---</w:t>
      </w:r>
    </w:p>
    <w:p>
      <w:pPr>
        <w:pStyle w:val="Heading3"/>
      </w:pPr>
      <w:r>
        <w:t>Phase III: Commercial Negotiation, Legal Review &amp; SLA Finalization</w:t>
      </w:r>
    </w:p>
    <w:p>
      <w:r>
        <w:t>*Objective:* Establish the commercial terms, service level agreements (SLAs), and legal contracts governing the peering relationship.*</w:t>
      </w:r>
    </w:p>
    <w:p>
      <w:r>
        <w:t>| Workflow Step | Action Description | Responsible Role(s) | Required Forms/Deliverables |</w:t>
      </w:r>
    </w:p>
    <w:p>
      <w:r>
        <w:t>| :--- | :--- | :--- | :--- | **Form III-01:**&lt;br&gt;Service Level Agreement Draft (SLED)&lt;br&gt;**Form III-02:**&lt;br&gt;Data Residency &amp; Sovereignty Addendum&lt;br&gt;**Form III-03:**&lt;br&gt;Audit Rights and Compliance Matrix&lt;br&gt;**Form III-04:**&lt;br&gt;Final Contract Signing Authority Approval Form | 1. Negotiate bandwidth allocation, QoS priorities, and fault response times.&lt;br&gt;2. Integrate data sovereignty clauses ensuring no foreign jurisdiction access to traffic metadata.&lt;br&gt;3. Define audit protocols for third-party inspection of network equipment (if required).&lt;br&gt;4. Finalize termination notice periods and exit strategy terms within the contract language.&lt;br&gt;5. Execute contracts according to Federal Acquisition Regulation (FAR) delegation matrices. | **Form III-01:** SLED&lt;br&gt;**Form III-02:** DRSA&lt;br&gt;**Form III-03:** ACM&lt;br&gt;**Form III-04:** C-SAAF |</w:t>
      </w:r>
    </w:p>
    <w:p>
      <w:r>
        <w:t>| Legal &amp; Financial Closeout | Present finalized contract package to the Office of General Counsel (OGC) and Chief Finance Officer.&lt;br&gt;Upon signature, lock parameters into the configuration management database (CMDB). | **Legal Counsel**&lt;br&gt;**Procurement Specialist**&lt;br&gt;**Peering Program Manager** | N/A | OGC Seal applied. Contract ID generated in enterprise ERP system. Notification of "Contract Active" status issued to Project Team for Phase IV initiation. |</w:t>
      </w:r>
    </w:p>
    <w:p>
      <w:r>
        <w:t>---</w:t>
      </w:r>
    </w:p>
    <w:p>
      <w:pPr>
        <w:pStyle w:val="Heading3"/>
      </w:pPr>
      <w:r>
        <w:t>Phase IV: Operational Commissioning (Cutover) &amp; Verification</w:t>
      </w:r>
    </w:p>
    <w:p>
      <w:r>
        <w:t>*Objective:* Physically or logically bring up the peering connection and verify operational integrity.*</w:t>
      </w:r>
    </w:p>
    <w:p>
      <w:r>
        <w:t>| Workflow Step | Action Description | Responsible Role(s) | Required Forms/Deliverables |</w:t>
      </w:r>
    </w:p>
    <w:p>
      <w:r>
        <w:t>| :--- | :--- | :--- | :--- | **Form IV-01:**&lt;br&gt;Implementation Plan &amp; Change Control Request (CCR)&lt;br&gt;**Form IV-02:**&lt;br&gt;Cutover Runbook&lt;br&gt;**Form IV-03:**&lt;br&gt;JMCP: Joint Monitoring Configuration Protocol Sheet | 1. Schedule cutover window with minimal impact to existing traffic.&lt;br&gt;2. Execute physical installation of fiber/transceivers or configure logical peering sessions in core routers/switches.&lt;br&gt;3. Apply BGP policies, route filters, and certificates defined in Phase II.&lt;br&gt;4. Initiate bidirectional ping tests and traceroute validation between endpoints.&lt;br&gt;5. Verify BGP neighbor state is "Established" for all required prefixes.&lt;br&gt;6. Confirm QoS tagging (CoS/DSCP) matches SLA requirements from Form III-01. | **Form IV-01:** CCR&lt;br&gt;**Form IV-02:** Runbook&lt;br&gt;**Form IV-03:** JMCPSF |</w:t>
      </w:r>
    </w:p>
    <w:p>
      <w:r>
        <w:t>| Post-Cutover Validation Window | Monitor the link for a minimum of 48 hours (or per SLA definition).&lt;br&gt;Document any anomalies, packet loss spikes, or route flapping events.&lt;br&gt;If critical failures occur, rollback to previous stable state immediately. | **NOC Analyst**&lt;br&gt;**Network Operations Manager** | N/A | Completion Report signed by NOC Lead declaring the link "Operational." If issues persist &gt;2 hours, escalate via Form IV-05 (Incident Escalation Log) and pause go-live status until resolved. Once validated, transition to Phase V monitoring duties. |</w:t>
      </w:r>
    </w:p>
    <w:p>
      <w:r>
        <w:t>---</w:t>
      </w:r>
    </w:p>
    <w:p>
      <w:pPr>
        <w:pStyle w:val="Heading3"/>
      </w:pPr>
      <w:r>
        <w:t>Phase V: Lifecycle Management, Stewardship &amp; Optimization</w:t>
      </w:r>
    </w:p>
    <w:p>
      <w:r>
        <w:t>*Objective:* Monitor performance, manage capacity scaling requests, handle incident response related to the peering link, and ensure ongoing compliance.*</w:t>
      </w:r>
    </w:p>
    <w:p>
      <w:r>
        <w:t>| Workflow Step | Action Description | Responsible Role(s) | Required Forms/Deliverables |</w:t>
      </w:r>
    </w:p>
    <w:p>
      <w:r>
        <w:t>| :--- | :--- | :--- | :--- | **Form V-01:**&lt;br&gt;Monthly Performance Review Report (MPRR)&lt;br&gt;**Form V-02:**&lt;br&gt;Capacity Scaling Request Form (CSR)&lt;br&gt;**Form V-03:**&lt;br&gt;Scheduled Maintenance Notice (SMN) | 1. Analyze monthly traffic trends against SLA baselines.&lt;br&gt;2. Manage routine firmware upgrades on border routers without disrupting BGP sessions.&lt;br&gt;3. Process requests for bandwidth expansion or contraction initiated by business units via CSR Form.&lt;br&gt;4. Coordinate annual physical inspections of cabling and environment controls at co-located facilities.&lt;br&gt;5. Update contact lists for technical points-of-contact (TPOC) should personnel change.&lt;br&gt;6. Conduct quarterly audits to ensure continued adherence to the Data Sovereignty Addendum. | **Form V-01:** MPRR&lt;br&gt;**Form V-02:** CSR&lt;br&gt;**Form V-03:** SMN |</w:t>
      </w:r>
    </w:p>
    <w:p>
      <w:r>
        <w:t>| Optimization Cycle | Review QoS metrics annually or upon request of senior leadership.&lt;br&gt;Recommend infrastructure upgrades (e.g., wavelength division multiplexing) to maintain future scalability. | **Senior Network Architect**&lt;br&gt;**Peering Program Manager** | N/A | Issue "Optimization Recommendation Memo" if current topology cannot support projected 3-year growth. Present business case for new circuit provisioning or technology refresh. Update MPRR to reflect improvements made during the optimization window. Continue daily monitoring until Phase VI is triggered. |</w:t>
      </w:r>
    </w:p>
    <w:p>
      <w:r>
        <w:t>---</w:t>
      </w:r>
    </w:p>
    <w:p>
      <w:pPr>
        <w:pStyle w:val="Heading3"/>
      </w:pPr>
      <w:r>
        <w:t>Phase VI: Decommissioning Transition &amp; Archival</w:t>
      </w:r>
    </w:p>
    <w:p>
      <w:r>
        <w:t>*Objective:* Safely dismantle or migrate the peering relationship and archive all associated documentation.*</w:t>
      </w:r>
    </w:p>
    <w:p>
      <w:r>
        <w:t>| Workflow Step | Action Description | Responsible Role(s) | Required Forms/Deliverables | **Form VI-01:**&lt;br&gt;Decommissioning Justification Memo (DJM)&lt;br&gt;**Form VI-02:**&lt;br&gt;Data Purge &amp; Route Withdrawal Log&lt;br&gt;**Form VI-03:**&lt;br&gt;Certified Destruction/Archival Receipt |</w:t>
      </w:r>
    </w:p>
    <w:p>
      <w:r>
        <w:t>| :--- | :--- | :--- | :--- | 1. Initiate formal review process to determine if a peering link is obsolete or superseded.&lt;br&gt;2. Submit DJM outlining business drivers for termination (e.g., cost reduction, strategic re-alignment).&lt;br&gt;3. Execute route withdrawal procedures in the BGP table; inform trading partners of session tear-down timelines.&lt;br&gt;4. Physically disconnect fiber links or disable logical interfaces after a mandatory safety cooldown period.&lt;br&gt;5. Securely wipe any local configuration files containing unique cryptographic keys used for that specific peering session&lt;br&gt;6. Archive final performance logs and legal contracts to the Federal Records Center (FRC) in accordance with NARA retention schedules. | **Form VI-01:** DJM&lt;br&gt;**Form VI-02:** DWL Log&lt;br&gt;**Form VI-03:** DARC |</w:t>
      </w:r>
    </w:p>
    <w:p>
      <w:r>
        <w:t>| Final Closure Sign-off | Obtain formal sign-off from Program Sponsor and Legal Counsel confirming all obligations are met.&lt;br&gt;Update CMDB to reflect "End of Life" status for the specific interface/IP pair. | **CIO**&lt;br&gt;**Compliance Officer** | N/A | Generation of "Process Closed-Out Certificate." Remove project team members from active notification distribution lists related to this peering event. File closed in digital repository. |</w:t>
      </w:r>
    </w:p>
    <w:p>
      <w:r>
        <w:t>---</w:t>
      </w:r>
    </w:p>
    <w:p>
      <w:pPr>
        <w:pStyle w:val="Heading2"/>
      </w:pPr>
      <w:r>
        <w:t>5. Handoff Checklists (Inter-Phase Transitions)</w:t>
      </w:r>
    </w:p>
    <w:p>
      <w:r>
        <w:t>These checklists must be completed and signed digitally by the outgoing role before work proceeds to the next phase. Failure to sign indicates a workflow bottleneck requiring immediate resolution.</w:t>
      </w:r>
    </w:p>
    <w:p>
      <w:pPr>
        <w:pStyle w:val="Heading3"/>
      </w:pPr>
      <w:r>
        <w:t>Checklist A: Transition from Phase I to II</w:t>
      </w:r>
    </w:p>
    <w:p>
      <w:pPr>
        <w:pStyle w:val="ListBullet"/>
      </w:pPr>
      <w:r>
        <w:t xml:space="preserve">  [ ] **Form I-01 (Feasibility Request)** reviewed and approved by CIO/CISO?</w:t>
      </w:r>
    </w:p>
    <w:p>
      <w:pPr>
        <w:pStyle w:val="ListBullet"/>
      </w:pPr>
      <w:r>
        <w:t xml:space="preserve">  [ ] **Form I-02 (Risk Assessment)** confirms no red-level security blockers exist?</w:t>
      </w:r>
    </w:p>
    <w:p>
      <w:pPr>
        <w:pStyle w:val="ListBullet"/>
      </w:pPr>
      <w:r>
        <w:t xml:space="preserve">  [ ] Budget approval code confirmed in financial system?</w:t>
      </w:r>
    </w:p>
    <w:p>
      <w:pPr>
        <w:pStyle w:val="ListBullet"/>
      </w:pPr>
      <w:r>
        <w:t xml:space="preserve">  [ ] Project charter document generated and stored?</w:t>
      </w:r>
    </w:p>
    <w:p>
      <w:pPr>
        <w:pStyle w:val="Heading3"/>
      </w:pPr>
      <w:r>
        <w:t>Checklist B: Transition from Phase II to III</w:t>
      </w:r>
    </w:p>
    <w:p>
      <w:pPr>
        <w:pStyle w:val="ListBullet"/>
      </w:pPr>
      <w:r>
        <w:t xml:space="preserve">  [ ] **PSAS Form** validated by Independent Security Assurance Team?</w:t>
      </w:r>
    </w:p>
    <w:p>
      <w:pPr>
        <w:pStyle w:val="ListBullet"/>
      </w:pPr>
      <w:r>
        <w:t xml:space="preserve">  [ ] Route filter policies (Form II-02) verified against threat intelligence feeds?</w:t>
      </w:r>
    </w:p>
    <w:p>
      <w:pPr>
        <w:pStyle w:val="ListBullet"/>
      </w:pPr>
      <w:r>
        <w:t xml:space="preserve">  [ ] PKI certificate hierarchy mapped correctly in design documents?</w:t>
      </w:r>
    </w:p>
    <w:p>
      <w:pPr>
        <w:pStyle w:val="ListBullet"/>
      </w:pPr>
      <w:r>
        <w:t xml:space="preserve">  [ ] Commercial requirements translated from technical specs into draft SLA terms?</w:t>
      </w:r>
    </w:p>
    <w:p>
      <w:pPr>
        <w:pStyle w:val="Heading3"/>
      </w:pPr>
      <w:r>
        <w:t>Checklist C: Transition from Phase III to IV</w:t>
      </w:r>
    </w:p>
    <w:p>
      <w:pPr>
        <w:pStyle w:val="ListBullet"/>
      </w:pPr>
      <w:r>
        <w:t xml:space="preserve">  [ ] Legal contract (SLED + Addenda) fully executed with original signatures/stamps?</w:t>
      </w:r>
    </w:p>
    <w:p>
      <w:pPr>
        <w:pStyle w:val="ListBullet"/>
      </w:pPr>
      <w:r>
        <w:t xml:space="preserve">  [ ] Contract ID assigned and uploaded to CMDB/ERP system?</w:t>
      </w:r>
    </w:p>
    <w:p>
      <w:pPr>
        <w:pStyle w:val="ListBullet"/>
      </w:pPr>
      <w:r>
        <w:t xml:space="preserve">  [ ] Implementation schedule approved by Change Advisory Board (CAB)?</w:t>
      </w:r>
    </w:p>
    <w:p>
      <w:pPr>
        <w:pStyle w:val="ListBullet"/>
      </w:pPr>
      <w:r>
        <w:t xml:space="preserve">  [ ] Stakeholders notified of cutover window date/time?</w:t>
      </w:r>
    </w:p>
    <w:p>
      <w:pPr>
        <w:pStyle w:val="Heading3"/>
      </w:pPr>
      <w:r>
        <w:t>Checklist D: Transition from Phase IV to V</w:t>
      </w:r>
    </w:p>
    <w:p>
      <w:pPr>
        <w:pStyle w:val="ListBullet"/>
      </w:pPr>
      <w:r>
        <w:t xml:space="preserve">  [ ] Post-cutover validation period complete without critical failures?</w:t>
      </w:r>
    </w:p>
    <w:p>
      <w:pPr>
        <w:pStyle w:val="ListBullet"/>
      </w:pPr>
      <w:r>
        <w:t xml:space="preserve">  [ ] **Form IV-03** signed confirming BGP session stability and QoS compliance?</w:t>
      </w:r>
    </w:p>
    <w:p>
      <w:pPr>
        <w:pStyle w:val="ListBullet"/>
      </w:pPr>
      <w:r>
        <w:t xml:space="preserve">  [ ] Baseline metrics established in monitoring dashboard?</w:t>
      </w:r>
    </w:p>
    <w:p>
      <w:pPr>
        <w:pStyle w:val="ListBullet"/>
      </w:pPr>
      <w:r>
        <w:t xml:space="preserve">  [ ] First month's maintenance schedule generated?</w:t>
      </w:r>
    </w:p>
    <w:p>
      <w:pPr>
        <w:pStyle w:val="Heading3"/>
      </w:pPr>
      <w:r>
        <w:t>Checklist E: Transition from Phase V to VI (Trigger Event)</w:t>
      </w:r>
    </w:p>
    <w:p>
      <w:pPr>
        <w:pStyle w:val="ListBullet"/>
      </w:pPr>
      <w:r>
        <w:t xml:space="preserve">  [ ] Decommissioning business case approved by Sponsor Committee?</w:t>
      </w:r>
    </w:p>
    <w:p>
      <w:pPr>
        <w:pStyle w:val="ListBullet"/>
      </w:pPr>
      <w:r>
        <w:t xml:space="preserve">  [ ] Backup routing paths verified and ready for failover during tear-down?</w:t>
      </w:r>
    </w:p>
    <w:p>
      <w:pPr>
        <w:pStyle w:val="ListBullet"/>
      </w:pPr>
      <w:r>
        <w:t xml:space="preserve">  [ ] Legal notice period published per contract terms?</w:t>
      </w:r>
    </w:p>
    <w:p>
      <w:pPr>
        <w:pStyle w:val="ListBullet"/>
      </w:pPr>
      <w:r>
        <w:t xml:space="preserve">  [ ] Destruction/Archival strategy defined and compliant with NARA guidelines?</w:t>
      </w:r>
    </w:p>
    <w:p>
      <w:r>
        <w:t>---</w:t>
      </w:r>
    </w:p>
    <w:p>
      <w:pPr>
        <w:pStyle w:val="Heading2"/>
      </w:pPr>
      <w:r>
        <w:t>6. Appendix A: Forms Index</w:t>
      </w:r>
    </w:p>
    <w:p>
      <w:r>
        <w:t>The following forms constitute the official documentation suite required to execute the Federal Network Peering Lifecycle. All forms are version-controlled within the Document Management System (DMS).</w:t>
      </w:r>
    </w:p>
    <w:p>
      <w:r>
        <w:t>| Form ID | Title | Phase Used By | Purpose Summary |</w:t>
      </w:r>
    </w:p>
    <w:p>
      <w:r>
        <w:t>| :--- | :--- | :--- | :--- |</w:t>
      </w:r>
    </w:p>
    <w:p>
      <w:r>
        <w:t>| **I-01** | Feasibility Study Request (FSR) | I | Initiates the project; defines business need. |</w:t>
      </w:r>
    </w:p>
    <w:p>
      <w:r>
        <w:t>| **I-02** | Initial Risk Assessment Matrix (IRM) | I | Screens vendor/entity risk before engagement. |</w:t>
      </w:r>
    </w:p>
    <w:p>
      <w:r>
        <w:t>| **II-01** | Peering Security Architecture Specification (PSAS) | II | Technical blueprint for security controls and topology. |</w:t>
      </w:r>
    </w:p>
    <w:p>
      <w:r>
        <w:t>| **II-02** | BGP Policy Definition Sheet | II | Defines routing filters, communities, and AS paths. |</w:t>
      </w:r>
    </w:p>
    <w:p>
      <w:r>
        <w:t>| **II-03** | Certification Authority Registration Request | II | Requests cryptographic assets needed for the link. |</w:t>
      </w:r>
    </w:p>
    <w:p>
      <w:r>
        <w:t>| **III-01** | Service Level Agreement Draft (SLED) | III | Defines commercial terms, uptime SLAs, and pricing. |</w:t>
      </w:r>
    </w:p>
    <w:p>
      <w:r>
        <w:t>| **III-02** | Data Residency &amp; Sovereignty Addendum | III | Legal clause ensuring data compliance with US laws. |</w:t>
      </w:r>
    </w:p>
    <w:p>
      <w:r>
        <w:t>| **III-03** | Audit Rights and Compliance Matrix | III | Outlines inspection rights for both parties. |</w:t>
      </w:r>
    </w:p>
    <w:p>
      <w:r>
        <w:t>| **III-04** | Contract Signing Authority Approval Form (CSAAF) | III | Internal delegation of authority to sign the final contract. |</w:t>
      </w:r>
    </w:p>
    <w:p>
      <w:r>
        <w:t>| **IV-01** | Implementation Plan &amp; Change Control Request (CCR) | IV | Schedules work and manages risk during cutover. |</w:t>
      </w:r>
    </w:p>
    <w:p>
      <w:r>
        <w:t>| **IV-02** | Cutover Runbook | IV | Step-by-step instructions for technicians executing the link-up. |</w:t>
      </w:r>
    </w:p>
    <w:p>
      <w:r>
        <w:t>| **IV-03** | JMCP: Joint Monitoring Configuration Protocol Sheet | 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