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Bdr>
          <w:bottom w:val="single" w:sz="6" w:space="4" w:color="C8A951"/>
        </w:pBdr>
      </w:pPr>
      <w:r>
        <w:rPr>
          <w:rFonts w:ascii="Calibri" w:hAnsi="Calibri"/>
          <w:b/>
          <w:color w:val="0A1628"/>
          <w:sz w:val="56"/>
        </w:rPr>
        <w:t>E2E Multi-Source Test — SOP-NET-042 + Email + KG</w:t>
      </w:r>
    </w:p>
    <w:p>
      <w:pPr>
        <w:spacing w:after="0" w:before="0"/>
      </w:pPr>
    </w:p>
    <w:p>
      <w:pPr>
        <w:spacing w:after="120"/>
      </w:pPr>
      <w:r>
        <w:rPr>
          <w:rFonts w:ascii="Calibri" w:hAnsi="Calibri"/>
          <w:b w:val="0"/>
          <w:i w:val="0"/>
          <w:sz w:val="22"/>
        </w:rPr>
        <w:t>CUI</w:t>
      </w:r>
    </w:p>
    <w:p>
      <w:pPr>
        <w:spacing w:after="0" w:before="0"/>
      </w:pPr>
    </w:p>
    <w:p>
      <w:pPr>
        <w:pStyle w:val="Heading2"/>
      </w:pPr>
      <w:r>
        <w:rPr>
          <w:b/>
          <w:color w:val="C8A951"/>
          <w:sz w:val="26"/>
        </w:rPr>
        <w:t>1. Scope and Compliance Context</w:t>
      </w:r>
    </w:p>
    <w:p>
      <w:pPr>
        <w:spacing w:after="120"/>
      </w:pPr>
      <w:r>
        <w:rPr>
          <w:rFonts w:ascii="Calibri" w:hAnsi="Calibri"/>
          <w:b w:val="0"/>
          <w:i w:val="0"/>
          <w:sz w:val="22"/>
        </w:rPr>
        <w:t>[ARGUMENT]</w:t>
      </w:r>
    </w:p>
    <w:p>
      <w:pPr>
        <w:spacing w:after="0" w:before="0"/>
      </w:pPr>
    </w:p>
    <w:p>
      <w:pPr>
        <w:spacing w:after="120"/>
      </w:pPr>
      <w:r>
        <w:rPr>
          <w:rFonts w:ascii="Calibri" w:hAnsi="Calibri"/>
          <w:b w:val="0"/>
          <w:i w:val="0"/>
          <w:sz w:val="22"/>
        </w:rPr>
        <w:t>**On the factual substance of the compressed section**</w:t>
      </w:r>
    </w:p>
    <w:p>
      <w:pPr>
        <w:spacing w:after="0" w:before="0"/>
      </w:pPr>
    </w:p>
    <w:p>
      <w:pPr>
        <w:spacing w:after="120"/>
      </w:pPr>
      <w:r>
        <w:rPr>
          <w:rFonts w:ascii="Calibri" w:hAnsi="Calibri"/>
          <w:b w:val="0"/>
          <w:i w:val="0"/>
          <w:sz w:val="22"/>
        </w:rPr>
        <w:t>I find the compressed section largely accurate, but it introduces one subtle expansion that goes beyond the source evidence: the claim that VLAN 10 is "Management, 172.16.0.0/24." That IP range was not present in the reasoning steps or the truncated original. If it is externally documented, it should cite that source; otherwise it should be removed or tagged as assumption. Beyond that, the five findings, deadlines, frameworks, and scoping boundaries are all preserved correctly.</w:t>
      </w:r>
    </w:p>
    <w:p>
      <w:pPr>
        <w:spacing w:after="0" w:before="0"/>
      </w:pPr>
    </w:p>
    <w:p>
      <w:pPr>
        <w:spacing w:after="120"/>
      </w:pPr>
      <w:r>
        <w:rPr>
          <w:rFonts w:ascii="Calibri" w:hAnsi="Calibri"/>
          <w:b w:val="0"/>
          <w:i w:val="0"/>
          <w:sz w:val="22"/>
        </w:rPr>
        <w:t>**On the instruction "denser and more concise without losing factual claims or citation references"**</w:t>
      </w:r>
    </w:p>
    <w:p>
      <w:pPr>
        <w:spacing w:after="0" w:before="0"/>
      </w:pPr>
    </w:p>
    <w:p>
      <w:pPr>
        <w:spacing w:after="120"/>
      </w:pPr>
      <w:r>
        <w:rPr>
          <w:rFonts w:ascii="Calibri" w:hAnsi="Calibri"/>
          <w:b w:val="0"/>
          <w:i w:val="0"/>
          <w:sz w:val="22"/>
        </w:rPr>
        <w:t>The final answer is denser in formatting but not materially shorter in word count. The reasoning steps were already a drafting scaffold; moving them into subsections does compress the cognitive path, but it does not reduce length. A truly concise version would collapse the table, merge 1.2 and 1.3, and eliminate the redundant deadline statement that appears in both the header and the narrative.</w:t>
      </w:r>
    </w:p>
    <w:p>
      <w:pPr>
        <w:spacing w:after="0" w:before="0"/>
      </w:pPr>
    </w:p>
    <w:p>
      <w:pPr>
        <w:spacing w:after="120"/>
      </w:pPr>
      <w:r>
        <w:rPr>
          <w:rFonts w:ascii="Calibri" w:hAnsi="Calibri"/>
          <w:b w:val="0"/>
          <w:i w:val="0"/>
          <w:sz w:val="22"/>
        </w:rPr>
        <w:t>**On what should be kept versus cut**</w:t>
      </w:r>
    </w:p>
    <w:p>
      <w:pPr>
        <w:spacing w:after="0" w:before="0"/>
      </w:pPr>
    </w:p>
    <w:p>
      <w:pPr>
        <w:spacing w:after="120"/>
      </w:pPr>
      <w:r>
        <w:rPr>
          <w:rFonts w:ascii="Calibri" w:hAnsi="Calibri"/>
          <w:b w:val="0"/>
          <w:i w:val="0"/>
          <w:sz w:val="22"/>
        </w:rPr>
        <w:t>I would retain: device identity and IP, classification, zone/IL5 status, the five triggering findings, the CAT1 deadline, the 2026-06-27 audit dependency, the in-scope/out-of-scope list, and the frameworks with specific SOP sections and STIG V-220130. I would cut: the paragraph repeating that an automated scan produced five findings, since that is already in the header and the bulleted triggers; the detailed table columns can be reduced to inline citations; and the "other network devices" out-of-scope item, which is implied by "scoped solely to RTR-CORE-01."</w:t>
      </w:r>
    </w:p>
    <w:p>
      <w:pPr>
        <w:spacing w:after="0" w:before="0"/>
      </w:pPr>
    </w:p>
    <w:p>
      <w:pPr>
        <w:spacing w:after="120"/>
      </w:pPr>
      <w:r>
        <w:rPr>
          <w:rFonts w:ascii="Calibri" w:hAnsi="Calibri"/>
          <w:b w:val="0"/>
          <w:i w:val="0"/>
          <w:sz w:val="22"/>
        </w:rPr>
        <w:t>**On a balanced framing**</w:t>
      </w:r>
    </w:p>
    <w:p>
      <w:pPr>
        <w:spacing w:after="0" w:before="0"/>
      </w:pPr>
    </w:p>
    <w:p>
      <w:pPr>
        <w:spacing w:after="120"/>
      </w:pPr>
      <w:r>
        <w:rPr>
          <w:rFonts w:ascii="Calibri" w:hAnsi="Calibri"/>
          <w:b w:val="0"/>
          <w:i w:val="0"/>
          <w:sz w:val="22"/>
        </w:rPr>
        <w:t>The section does not need to be adversarial; it needs to be defensible. A neutral, tighter version would state the scope once, cite each constraint once, and avoid dramatizing urgency beyond what the Operator Directive actually says. The deadline is a fact, not a rhetorical point.</w:t>
      </w:r>
    </w:p>
    <w:p>
      <w:pPr>
        <w:spacing w:after="0" w:before="0"/>
      </w:pPr>
    </w:p>
    <w:p>
      <w:pPr>
        <w:spacing w:after="120"/>
      </w:pPr>
      <w:r>
        <w:rPr>
          <w:rFonts w:ascii="Calibri" w:hAnsi="Calibri"/>
          <w:b w:val="0"/>
          <w:i w:val="0"/>
          <w:sz w:val="22"/>
        </w:rPr>
        <w:t>**Proposed concise rendering (for comparison):**</w:t>
      </w:r>
    </w:p>
    <w:p>
      <w:pPr>
        <w:spacing w:after="0" w:before="0"/>
      </w:pPr>
    </w:p>
    <w:p>
      <w:pPr>
        <w:spacing w:after="120"/>
      </w:pPr>
      <w:r>
        <w:rPr>
          <w:rFonts w:ascii="Calibri" w:hAnsi="Calibri"/>
          <w:b w:val="0"/>
          <w:i w:val="0"/>
          <w:sz w:val="22"/>
        </w:rPr>
        <w:t>&gt; **1. Scope and Compliance Context**</w:t>
      </w:r>
    </w:p>
    <w:p>
      <w:pPr>
        <w:spacing w:after="120"/>
      </w:pPr>
      <w:r>
        <w:rPr>
          <w:rFonts w:ascii="Calibri" w:hAnsi="Calibri"/>
          <w:b w:val="0"/>
          <w:i w:val="0"/>
          <w:sz w:val="22"/>
        </w:rPr>
        <w:t>&gt;</w:t>
      </w:r>
    </w:p>
    <w:p>
      <w:pPr>
        <w:spacing w:after="120"/>
      </w:pPr>
      <w:r>
        <w:rPr>
          <w:rFonts w:ascii="Calibri" w:hAnsi="Calibri"/>
          <w:b w:val="0"/>
          <w:i w:val="0"/>
          <w:sz w:val="22"/>
        </w:rPr>
        <w:t>&gt; **Device:** RTR-CORE-01 (192.168.1.1), Cisco IOS router in the ICDEV Core Zone (192.168.0.0/16), IL5 classified enclave, per SOP-NET-042 §2.</w:t>
      </w:r>
    </w:p>
    <w:p>
      <w:pPr>
        <w:spacing w:after="120"/>
      </w:pPr>
      <w:r>
        <w:rPr>
          <w:rFonts w:ascii="Calibri" w:hAnsi="Calibri"/>
          <w:b w:val="0"/>
          <w:i w:val="0"/>
          <w:sz w:val="22"/>
        </w:rPr>
        <w:t>&gt;</w:t>
      </w:r>
    </w:p>
    <w:p>
      <w:pPr>
        <w:spacing w:after="120"/>
      </w:pPr>
      <w:r>
        <w:rPr>
          <w:rFonts w:ascii="Calibri" w:hAnsi="Calibri"/>
          <w:b w:val="0"/>
          <w:i w:val="0"/>
          <w:sz w:val="22"/>
        </w:rPr>
        <w:t>&gt; **Trigger:** Automated compliance scan, 2026-06-26, identified five findings: SNMP v2c community "public"; Telnet enabled (CAT1 STIG V-220130); BGP peer 10.0.0.2 without MD5 authentication; VLAN 10 lacking jump-host ACL; and Type 7 password encoding in running-config. SOP-SEC-018 governs BGP authentication.</w:t>
      </w:r>
    </w:p>
    <w:p>
      <w:pPr>
        <w:spacing w:after="120"/>
      </w:pPr>
      <w:r>
        <w:rPr>
          <w:rFonts w:ascii="Calibri" w:hAnsi="Calibri"/>
          <w:b w:val="0"/>
          <w:i w:val="0"/>
          <w:sz w:val="22"/>
        </w:rPr>
        <w:t>&gt;</w:t>
      </w:r>
    </w:p>
    <w:p>
      <w:pPr>
        <w:spacing w:after="120"/>
      </w:pPr>
      <w:r>
        <w:rPr>
          <w:rFonts w:ascii="Calibri" w:hAnsi="Calibri"/>
          <w:b w:val="0"/>
          <w:i w:val="0"/>
          <w:sz w:val="22"/>
        </w:rPr>
        <w:t>&gt; **Deadline:** CAT1 findings must be remediated before EOB 2026-06-26 per Operator Directive. BGP and VLAN ACL remediation must precede the Palo Alto firewall rule audit scheduled 2026-06-27.</w:t>
      </w:r>
    </w:p>
    <w:p>
      <w:pPr>
        <w:spacing w:after="120"/>
      </w:pPr>
      <w:r>
        <w:rPr>
          <w:rFonts w:ascii="Calibri" w:hAnsi="Calibri"/>
          <w:b w:val="0"/>
          <w:i w:val="0"/>
          <w:sz w:val="22"/>
        </w:rPr>
        <w:t>&gt;</w:t>
      </w:r>
    </w:p>
    <w:p>
      <w:pPr>
        <w:spacing w:after="120"/>
      </w:pPr>
      <w:r>
        <w:rPr>
          <w:rFonts w:ascii="Calibri" w:hAnsi="Calibri"/>
          <w:b w:val="0"/>
          <w:i w:val="0"/>
          <w:sz w:val="22"/>
        </w:rPr>
        <w:t>&gt; **In scope:** RTR-CORE-01 interfaces, VTY lines, SNMP, BGP peer 10.0.0.2, local credentials, and VLAN 10 ACL enforcement on this device.</w:t>
      </w:r>
    </w:p>
    <w:p>
      <w:pPr>
        <w:spacing w:after="120"/>
      </w:pPr>
      <w:r>
        <w:rPr>
          <w:rFonts w:ascii="Calibri" w:hAnsi="Calibri"/>
          <w:b w:val="0"/>
          <w:i w:val="0"/>
          <w:sz w:val="22"/>
        </w:rPr>
        <w:t>&gt;</w:t>
      </w:r>
    </w:p>
    <w:p>
      <w:pPr>
        <w:spacing w:after="120"/>
      </w:pPr>
      <w:r>
        <w:rPr>
          <w:rFonts w:ascii="Calibri" w:hAnsi="Calibri"/>
          <w:b w:val="0"/>
          <w:i w:val="0"/>
          <w:sz w:val="22"/>
        </w:rPr>
        <w:t>&gt; **Out of scope:** Guest wireless networks and contractor DMZ segments per SOP-NET-042 §2.</w:t>
      </w:r>
    </w:p>
    <w:p>
      <w:pPr>
        <w:spacing w:after="120"/>
      </w:pPr>
      <w:r>
        <w:rPr>
          <w:rFonts w:ascii="Calibri" w:hAnsi="Calibri"/>
          <w:b w:val="0"/>
          <w:i w:val="0"/>
          <w:sz w:val="22"/>
        </w:rPr>
        <w:t>&gt;</w:t>
      </w:r>
    </w:p>
    <w:p>
      <w:pPr>
        <w:spacing w:after="120"/>
      </w:pPr>
      <w:r>
        <w:rPr>
          <w:rFonts w:ascii="Calibri" w:hAnsi="Calibri"/>
          <w:b w:val="0"/>
          <w:i w:val="0"/>
          <w:sz w:val="22"/>
        </w:rPr>
        <w:t>&gt; **Frameworks:** SOP-NET-042 §4.2, §6.1; NIST SP 800-53 Rev 5 (SC, AC, AU); DoD Cisco IOS Router L3 STIG; CJCSI 6510.01F; STIG V-220130.</w:t>
      </w:r>
    </w:p>
    <w:p>
      <w:pPr>
        <w:spacing w:after="0" w:before="0"/>
      </w:pPr>
    </w:p>
    <w:p>
      <w:pPr>
        <w:spacing w:after="120"/>
      </w:pPr>
      <w:r>
        <w:rPr>
          <w:rFonts w:ascii="Calibri" w:hAnsi="Calibri"/>
          <w:b w:val="0"/>
          <w:i w:val="0"/>
          <w:sz w:val="22"/>
        </w:rPr>
        <w:t>This preserves every factual claim and citation from the reasoning steps, removes duplication, and avoids the unverified VLAN 10 subnet detail. The original compressed answer is acceptable; this neutral revision is stronger because it is shorter without sacrificing defensibility.</w:t>
      </w:r>
    </w:p>
    <w:p>
      <w:pPr>
        <w:spacing w:after="0" w:before="0"/>
      </w:pPr>
    </w:p>
    <w:p>
      <w:pPr>
        <w:spacing w:after="120"/>
      </w:pPr>
      <w:r>
        <w:rPr>
          <w:rFonts w:ascii="Calibri" w:hAnsi="Calibri"/>
          <w:b w:val="0"/>
          <w:i w:val="0"/>
          <w:sz w:val="22"/>
        </w:rPr>
        <w:t>[ARGUMENT]</w:t>
      </w:r>
    </w:p>
    <w:p>
      <w:pPr>
        <w:spacing w:after="0" w:before="0"/>
      </w:pPr>
    </w:p>
    <w:p>
      <w:pPr>
        <w:pStyle w:val="Heading2"/>
      </w:pPr>
      <w:r>
        <w:rPr>
          <w:b/>
          <w:color w:val="C8A951"/>
          <w:sz w:val="26"/>
        </w:rPr>
        <w:t>2. Findings Summary</w:t>
      </w:r>
    </w:p>
    <w:p>
      <w:pPr>
        <w:pStyle w:val="Heading2"/>
      </w:pPr>
      <w:r>
        <w:rPr>
          <w:b/>
          <w:color w:val="C8A951"/>
          <w:sz w:val="26"/>
        </w:rPr>
        <w:t>Argument: Compress Aggressively â€” But Protect Three Specific Load-Bearing Passages</w:t>
      </w:r>
    </w:p>
    <w:p>
      <w:pPr>
        <w:spacing w:after="0" w:before="0"/>
      </w:pPr>
    </w:p>
    <w:p>
      <w:pPr>
        <w:spacing w:after="120"/>
      </w:pPr>
      <w:r>
        <w:rPr>
          <w:rFonts w:ascii="Calibri" w:hAnsi="Calibri"/>
          <w:b w:val="0"/>
          <w:i w:val="0"/>
          <w:sz w:val="22"/>
        </w:rPr>
        <w:t>The neutral assessment is largely correct in diagnosis but too permissive in prescription. It identifies redundancy accurately, then retreats to a soft conclusion: "a table-driven summary... would achieve density." I agree compression is warranted and will argue for a more assertive standard â€” while naming the three passages that must survive intact.</w:t>
      </w:r>
    </w:p>
    <w:p>
      <w:pPr>
        <w:spacing w:after="0" w:before="0"/>
      </w:pPr>
    </w:p>
    <w:p>
      <w:pPr>
        <w:spacing w:after="120"/>
      </w:pPr>
      <w:r>
        <w:rPr>
          <w:rFonts w:ascii="Calibri" w:hAnsi="Calibri"/>
          <w:b w:val="0"/>
          <w:i w:val="0"/>
          <w:sz w:val="22"/>
        </w:rPr>
        <w:t>**Where I agree with the prior argument:**</w:t>
      </w:r>
    </w:p>
    <w:p>
      <w:pPr>
        <w:spacing w:after="0" w:before="0"/>
      </w:pPr>
    </w:p>
    <w:p>
      <w:pPr>
        <w:spacing w:after="120"/>
      </w:pPr>
      <w:r>
        <w:rPr>
          <w:rFonts w:ascii="Calibri" w:hAnsi="Calibri"/>
          <w:b w:val="0"/>
          <w:i w:val="0"/>
          <w:sz w:val="22"/>
        </w:rPr>
        <w:t>The structural repetition case is airtight. The device header, scan date, and deadlines appear in the step-by-step scaffold, the introductory paragraph, and again in each finding subsection. That is three-layer redundancy for the same facts. The step labels (Step 1 through Step 5) add no information to the final answer â€” they are scaffolding for the analyst, not content for the reader. Collapsing them loses nothing.</w:t>
      </w:r>
    </w:p>
    <w:p>
      <w:pPr>
        <w:spacing w:after="0" w:before="0"/>
      </w:pPr>
    </w:p>
    <w:p>
      <w:pPr>
        <w:spacing w:after="120"/>
      </w:pPr>
      <w:r>
        <w:rPr>
          <w:rFonts w:ascii="Calibri" w:hAnsi="Calibri"/>
          <w:b w:val="0"/>
          <w:i w:val="0"/>
          <w:sz w:val="22"/>
        </w:rPr>
        <w:t>**Where the prior argument understates the compression opportunity:**</w:t>
      </w:r>
    </w:p>
    <w:p>
      <w:pPr>
        <w:spacing w:after="0" w:before="0"/>
      </w:pPr>
    </w:p>
    <w:p>
      <w:pPr>
        <w:spacing w:after="120"/>
      </w:pPr>
      <w:r>
        <w:rPr>
          <w:rFonts w:ascii="Calibri" w:hAnsi="Calibri"/>
          <w:b w:val="0"/>
          <w:i w:val="0"/>
          <w:sz w:val="22"/>
        </w:rPr>
        <w:t>The neutral view treats explanatory rationale as a borderline call. It is not. Most of the explanatory language in F-01 through F-05 restates what the severity rating and SOP citation already assert. "Telnet transmits credentials in plaintext" is not a discrete factual claim â€” it is the reason CAT1 + V-220130 + SOP-NET-042 Â§4.1 exist. A reader with STIG access knows this. Auditors do not need the reasoning restated; they need the citation. Compress the rationale to one clause per finding, not a full sentence.</w:t>
      </w:r>
    </w:p>
    <w:p>
      <w:pPr>
        <w:spacing w:after="0" w:before="0"/>
      </w:pPr>
    </w:p>
    <w:p>
      <w:pPr>
        <w:spacing w:after="120"/>
      </w:pPr>
      <w:r>
        <w:rPr>
          <w:rFonts w:ascii="Calibri" w:hAnsi="Calibri"/>
          <w:b w:val="0"/>
          <w:i w:val="0"/>
          <w:sz w:val="22"/>
        </w:rPr>
        <w:t>**The three passages that must survive compression:**</w:t>
      </w:r>
    </w:p>
    <w:p>
      <w:pPr>
        <w:spacing w:after="0" w:before="0"/>
      </w:pPr>
    </w:p>
    <w:p>
      <w:pPr>
        <w:spacing w:after="120"/>
      </w:pPr>
      <w:r>
        <w:rPr>
          <w:rFonts w:ascii="Calibri" w:hAnsi="Calibri"/>
          <w:b w:val="0"/>
          <w:i w:val="0"/>
          <w:sz w:val="22"/>
        </w:rPr>
        <w:t>1. **F-03's Type 7 â†’ Type 9 (scrypt) specification.** This is not inferable from "CAT1." The specific replacement algorithm (scrypt) is a discrete factual claim that has remediation action implications and would disappear in a bare table. It must be preserved verbatim or as a parenthetical.</w:t>
      </w:r>
    </w:p>
    <w:p>
      <w:pPr>
        <w:spacing w:after="0" w:before="0"/>
      </w:pPr>
    </w:p>
    <w:p>
      <w:pPr>
        <w:spacing w:after="120"/>
      </w:pPr>
      <w:r>
        <w:rPr>
          <w:rFonts w:ascii="Calibri" w:hAnsi="Calibri"/>
          <w:b w:val="0"/>
          <w:i w:val="0"/>
          <w:sz w:val="22"/>
        </w:rPr>
        <w:t>2. **F-04's pre-audit timing rationale.** The sentence linking BGP MD5 remediation to the 2026-06-27 Palo Alto firewall audit is load-bearing. It explains why F-04 has a different deadline than F-01/F-02/F-03 despite being rated lower severity. Without it, the deadline table looks arbitrary. One sentence; non-negotiable.</w:t>
      </w:r>
    </w:p>
    <w:p>
      <w:pPr>
        <w:spacing w:after="0" w:before="0"/>
      </w:pPr>
    </w:p>
    <w:p>
      <w:pPr>
        <w:spacing w:after="120"/>
      </w:pPr>
      <w:r>
        <w:rPr>
          <w:rFonts w:ascii="Calibri" w:hAnsi="Calibri"/>
          <w:b w:val="0"/>
          <w:i w:val="0"/>
          <w:sz w:val="22"/>
        </w:rPr>
        <w:t>3. **F-05's jump-host 10.10.10.5 specificity.** The neutral argument notes this IP appears in Step 3 but not in the finding subsection. That is a gap in the current draft, not a compression casualty. The compressed version must surface 10.10.10.5 in the finding itself â€” it is the sole permitted source address, a discrete technical claim that cannot be recovered from "restrict to jump-host only."</w:t>
      </w:r>
    </w:p>
    <w:p>
      <w:pPr>
        <w:spacing w:after="0" w:before="0"/>
      </w:pPr>
    </w:p>
    <w:p>
      <w:pPr>
        <w:spacing w:after="120"/>
      </w:pPr>
      <w:r>
        <w:rPr>
          <w:rFonts w:ascii="Calibri" w:hAnsi="Calibri"/>
          <w:b w:val="0"/>
          <w:i w:val="0"/>
          <w:sz w:val="22"/>
        </w:rPr>
        <w:t>**The correct compression target:**</w:t>
      </w:r>
    </w:p>
    <w:p>
      <w:pPr>
        <w:spacing w:after="0" w:before="0"/>
      </w:pPr>
    </w:p>
    <w:p>
      <w:pPr>
        <w:spacing w:after="120"/>
      </w:pPr>
      <w:r>
        <w:rPr>
          <w:rFonts w:ascii="Calibri" w:hAnsi="Calibri"/>
          <w:b w:val="0"/>
          <w:i w:val="0"/>
          <w:sz w:val="22"/>
        </w:rPr>
        <w:t>Replace Steps 1â€“5 scaffolding and the per-finding narrative blocks with: one three-line device header, one five-row table (finding ID, severity, violated control, deadline, one-line remediation), and three inline footnotes preserving the Type 9 scrypt specification, the audit-date rationale for F-04, and the 10.10.10.5 jump-host address. The TACACS+ server IPs (192.168.100.10/11) belong in F-01's remediation cell, not a separate note â€” they are an F-01 dependency, not a global observation.</w:t>
      </w:r>
    </w:p>
    <w:p>
      <w:pPr>
        <w:spacing w:after="0" w:before="0"/>
      </w:pPr>
    </w:p>
    <w:p>
      <w:pPr>
        <w:spacing w:after="120"/>
      </w:pPr>
      <w:r>
        <w:rPr>
          <w:rFonts w:ascii="Calibri" w:hAnsi="Calibri"/>
          <w:b w:val="0"/>
          <w:i w:val="0"/>
          <w:sz w:val="22"/>
        </w:rPr>
        <w:t>**Why this position is strongest:**</w:t>
      </w:r>
    </w:p>
    <w:p>
      <w:pPr>
        <w:spacing w:after="0" w:before="0"/>
      </w:pPr>
    </w:p>
    <w:p>
      <w:pPr>
        <w:spacing w:after="120"/>
      </w:pPr>
      <w:r>
        <w:rPr>
          <w:rFonts w:ascii="Calibri" w:hAnsi="Calibri"/>
          <w:b w:val="0"/>
          <w:i w:val="0"/>
          <w:sz w:val="22"/>
        </w:rPr>
        <w:t>A pure table (prior argument's endpoint) loses the three passages above. The original draft (no compression) repeats device metadata at least three times and buries the F-03 scrypt claim in paragraph four of a five-step scaffold. My position draws the line precisely: compress everything that is structural repetition or inferable from the citation, preserve everything that is a discrete technical claim with remediation consequences. That is the definition of "denser without losing factual claims" â€” not "denser unless auditors might like the context."</w:t>
      </w:r>
    </w:p>
    <w:p>
      <w:pPr>
        <w:spacing w:after="0" w:before="0"/>
      </w:pPr>
    </w:p>
    <w:p>
      <w:pPr>
        <w:spacing w:after="120"/>
      </w:pPr>
      <w:r>
        <w:rPr>
          <w:rFonts w:ascii="Calibri" w:hAnsi="Calibri"/>
          <w:b w:val="0"/>
          <w:i w:val="0"/>
          <w:sz w:val="22"/>
        </w:rPr>
        <w:t>[ARGUMENT]</w:t>
      </w:r>
    </w:p>
    <w:p>
      <w:pPr>
        <w:spacing w:after="0" w:before="0"/>
      </w:pPr>
    </w:p>
    <w:p>
      <w:pPr>
        <w:pStyle w:val="Heading2"/>
      </w:pPr>
      <w:r>
        <w:rPr>
          <w:b/>
          <w:color w:val="C8A951"/>
          <w:sz w:val="26"/>
        </w:rPr>
        <w:t>3. CAT1 Immediate Remediation Procedures</w:t>
      </w:r>
    </w:p>
    <w:p>
      <w:pPr>
        <w:spacing w:after="120"/>
      </w:pPr>
      <w:r>
        <w:rPr>
          <w:rFonts w:ascii="Calibri" w:hAnsi="Calibri"/>
          <w:b w:val="0"/>
          <w:i w:val="0"/>
          <w:sz w:val="22"/>
        </w:rPr>
        <w:t>The neutral assessment is largely sound, and I agree with its core diagnostic: the draft preserves factual density well but is incomplete and contains compressible padding. Where I diverge is on *what to protect* and *what the caveats must be* before endorsing this compression as production-ready.</w:t>
      </w:r>
    </w:p>
    <w:p>
      <w:pPr>
        <w:spacing w:after="0" w:before="0"/>
      </w:pPr>
    </w:p>
    <w:p>
      <w:pPr>
        <w:spacing w:after="120"/>
      </w:pPr>
      <w:r>
        <w:rPr>
          <w:rFonts w:ascii="Calibri" w:hAnsi="Calibri"/>
          <w:b w:val="0"/>
          <w:i w:val="0"/>
          <w:sz w:val="22"/>
        </w:rPr>
        <w:t>**I am in favor of compression â€” with three non-negotiable caveats.**</w:t>
      </w:r>
    </w:p>
    <w:p>
      <w:pPr>
        <w:spacing w:after="0" w:before="0"/>
      </w:pPr>
    </w:p>
    <w:p>
      <w:pPr>
        <w:spacing w:after="120"/>
      </w:pPr>
      <w:r>
        <w:rPr>
          <w:rFonts w:ascii="Calibri" w:hAnsi="Calibri"/>
          <w:b w:val="0"/>
          <w:i w:val="0"/>
          <w:sz w:val="22"/>
        </w:rPr>
        <w:t>**Caveat 1: The Â§6.1 discrepancy must survive compression.**</w:t>
      </w:r>
    </w:p>
    <w:p>
      <w:pPr>
        <w:spacing w:after="0" w:before="0"/>
      </w:pPr>
    </w:p>
    <w:p>
      <w:pPr>
        <w:spacing w:after="120"/>
      </w:pPr>
      <w:r>
        <w:rPr>
          <w:rFonts w:ascii="Calibri" w:hAnsi="Calibri"/>
          <w:b w:val="0"/>
          <w:i w:val="0"/>
          <w:sz w:val="22"/>
        </w:rPr>
        <w:t>The prior argument notes it "if space permits." That hedge is wrong. The discrepancy between the NOC email citing SOP-NET-042 Â§6.1 for VTY/TACACS+ requirements and the actual SOP placing those requirements at Â§4.1 is not a stylistic footnote â€” it is an auditable fact. If an operator or auditor later reviews the change record and the email, a silent Â§4.1-only citation creates a traceability gap. The compressed version must carry a single inline note, e.g., *(NOC email cites Â§6.1; authoritative text is Â§4.1)*, regardless of space pressure. This costs approximately eight words and is non-negotiable.</w:t>
      </w:r>
    </w:p>
    <w:p>
      <w:pPr>
        <w:spacing w:after="0" w:before="0"/>
      </w:pPr>
    </w:p>
    <w:p>
      <w:pPr>
        <w:spacing w:after="120"/>
      </w:pPr>
      <w:r>
        <w:rPr>
          <w:rFonts w:ascii="Calibri" w:hAnsi="Calibri"/>
          <w:b w:val="0"/>
          <w:i w:val="0"/>
          <w:sz w:val="22"/>
        </w:rPr>
        <w:t>**Caveat 2: The emergency-change justification must be explicit, not implied.**</w:t>
      </w:r>
    </w:p>
    <w:p>
      <w:pPr>
        <w:spacing w:after="0" w:before="0"/>
      </w:pPr>
    </w:p>
    <w:p>
      <w:pPr>
        <w:spacing w:after="120"/>
      </w:pPr>
      <w:r>
        <w:rPr>
          <w:rFonts w:ascii="Calibri" w:hAnsi="Calibri"/>
          <w:b w:val="0"/>
          <w:i w:val="0"/>
          <w:sz w:val="22"/>
        </w:rPr>
        <w:t>SOP-NET-042 Â§7 mandates a standard maintenance window (Saturday 0200â€“0600). The EOB 2026-06-26 deadline is a weekday. Proceeding without the maintenance window is a policy deviation, and that deviation must appear in the compressed text with the word "emergency" attached to the change record reference. The prior argument supports this, and I agree â€” but I would go further: the compressed version should state *why* the deviation is authorized (CAT1 STIG severity + operator directive), not merely that it exists. One sentence. Not optional.</w:t>
      </w:r>
    </w:p>
    <w:p>
      <w:pPr>
        <w:spacing w:after="0" w:before="0"/>
      </w:pPr>
    </w:p>
    <w:p>
      <w:pPr>
        <w:spacing w:after="120"/>
      </w:pPr>
      <w:r>
        <w:rPr>
          <w:rFonts w:ascii="Calibri" w:hAnsi="Calibri"/>
          <w:b w:val="0"/>
          <w:i w:val="0"/>
          <w:sz w:val="22"/>
        </w:rPr>
        <w:t>**Caveat 3: The five findings must all appear, with deadline attribution.**</w:t>
      </w:r>
    </w:p>
    <w:p>
      <w:pPr>
        <w:spacing w:after="0" w:before="0"/>
      </w:pPr>
    </w:p>
    <w:p>
      <w:pPr>
        <w:spacing w:after="120"/>
      </w:pPr>
      <w:r>
        <w:rPr>
          <w:rFonts w:ascii="Calibri" w:hAnsi="Calibri"/>
          <w:b w:val="0"/>
          <w:i w:val="0"/>
          <w:sz w:val="22"/>
        </w:rPr>
        <w:t>The draft cuts off after Priority 1. A "compressed" section that is also *truncated* is not compression â€” it is omission. The prior argument correctly identifies this as the draft's most significant failure. My position: the final compressed version must enumerate all five CAT1 items with their references and the deadline cascade (items 1â€“3 by EOB 2026-06-26; items 4â€“5 by 2026-06-27), even if items 2â€“5 are reduced to a single command block each with no explanatory prose beyond the citation.</w:t>
      </w:r>
    </w:p>
    <w:p>
      <w:pPr>
        <w:spacing w:after="0" w:before="0"/>
      </w:pPr>
    </w:p>
    <w:p>
      <w:pPr>
        <w:spacing w:after="120"/>
      </w:pPr>
      <w:r>
        <w:rPr>
          <w:rFonts w:ascii="Calibri" w:hAnsi="Calibri"/>
          <w:b w:val="0"/>
          <w:i w:val="0"/>
          <w:sz w:val="22"/>
        </w:rPr>
        <w:t>**Where I depart from pure neutrality.**</w:t>
      </w:r>
    </w:p>
    <w:p>
      <w:pPr>
        <w:spacing w:after="0" w:before="0"/>
      </w:pPr>
    </w:p>
    <w:p>
      <w:pPr>
        <w:spacing w:after="120"/>
      </w:pPr>
      <w:r>
        <w:rPr>
          <w:rFonts w:ascii="Calibri" w:hAnsi="Calibri"/>
          <w:b w:val="0"/>
          <w:i w:val="0"/>
          <w:sz w:val="22"/>
        </w:rPr>
        <w:t>The prior argument proposes equal weight to "safety first" and "minimal viable" approaches. I disagree with that symmetry. This is a CAT1 remediation SOP for a management-plane device. The asymmetry of consequences â€” a missed step during remediation versus slightly longer reading time â€” favors retaining the TACACS+ reachability check with its exact commands and the local-fallback warning. These are not redundant explanation; they are failure-mode guards with known consequences (operator locked out of device if AAA fails mid-change). Compressing them out would make the document shorter and less safe. The neutral position understates this asymmetry.</w:t>
      </w:r>
    </w:p>
    <w:p>
      <w:pPr>
        <w:spacing w:after="0" w:before="0"/>
      </w:pPr>
    </w:p>
    <w:p>
      <w:pPr>
        <w:spacing w:after="120"/>
      </w:pPr>
      <w:r>
        <w:rPr>
          <w:rFonts w:ascii="Calibri" w:hAnsi="Calibri"/>
          <w:b w:val="0"/>
          <w:i w:val="0"/>
          <w:sz w:val="22"/>
        </w:rPr>
        <w:t>**My bottom line.**</w:t>
      </w:r>
    </w:p>
    <w:p>
      <w:pPr>
        <w:spacing w:after="0" w:before="0"/>
      </w:pPr>
    </w:p>
    <w:p>
      <w:pPr>
        <w:spacing w:after="120"/>
      </w:pPr>
      <w:r>
        <w:rPr>
          <w:rFonts w:ascii="Calibri" w:hAnsi="Calibri"/>
          <w:b w:val="0"/>
          <w:i w:val="0"/>
          <w:sz w:val="22"/>
        </w:rPr>
        <w:t>Compression is correct and achievable. The approach in the draft â€” structured header, pre-remediation checklist, per-finding blocks â€” is the right skeleton. Execute it with: (1) the Â§6.1 discrepancy inline note preserved, (2) explicit emergency-change authorization language, (3) all five findings present with deadline attribution, and (4) the TACACS+ reachability guard and local-fallback warning kept verbatim. Everything else â€” risk paragraphs, explanatory preambles, repeated rationale â€” can and should be stripped. That yields a document that is measurably denser, operationally complete, and defensible under audit.</w:t>
      </w:r>
    </w:p>
    <w:p>
      <w:pPr>
        <w:spacing w:after="0" w:before="0"/>
      </w:pPr>
    </w:p>
    <w:p>
      <w:pPr>
        <w:spacing w:after="120"/>
      </w:pPr>
      <w:r>
        <w:rPr>
          <w:rFonts w:ascii="Calibri" w:hAnsi="Calibri"/>
          <w:b w:val="0"/>
          <w:i w:val="0"/>
          <w:sz w:val="22"/>
        </w:rPr>
        <w:t>Moderate in favor. The caveats are the product.</w:t>
      </w:r>
    </w:p>
    <w:p>
      <w:pPr>
        <w:spacing w:after="0" w:before="0"/>
      </w:pPr>
    </w:p>
    <w:p>
      <w:pPr>
        <w:spacing w:after="120"/>
      </w:pPr>
      <w:r>
        <w:rPr>
          <w:rFonts w:ascii="Calibri" w:hAnsi="Calibri"/>
          <w:b w:val="0"/>
          <w:i w:val="0"/>
          <w:sz w:val="22"/>
        </w:rPr>
        <w:t>[ARGUMENT]</w:t>
      </w:r>
    </w:p>
    <w:p>
      <w:pPr>
        <w:spacing w:after="0" w:before="0"/>
      </w:pPr>
    </w:p>
    <w:p>
      <w:pPr>
        <w:pStyle w:val="Heading2"/>
      </w:pPr>
      <w:r>
        <w:rPr>
          <w:b/>
          <w:color w:val="C8A951"/>
          <w:sz w:val="26"/>
        </w:rPr>
        <w:t>4. CAT2 and CAT3 Remediation Procedures</w:t>
      </w:r>
    </w:p>
    <w:p>
      <w:pPr>
        <w:pStyle w:val="Heading2"/>
      </w:pPr>
      <w:r>
        <w:rPr>
          <w:b/>
          <w:color w:val="C8A951"/>
          <w:sz w:val="26"/>
        </w:rPr>
        <w:t>Debater 2 â€” Moderately in Favor with Caveats</w:t>
      </w:r>
    </w:p>
    <w:p>
      <w:pPr>
        <w:spacing w:after="0" w:before="0"/>
      </w:pPr>
    </w:p>
    <w:p>
      <w:pPr>
        <w:spacing w:after="120"/>
      </w:pPr>
      <w:r>
        <w:rPr>
          <w:rFonts w:ascii="Calibri" w:hAnsi="Calibri"/>
          <w:b w:val="0"/>
          <w:i w:val="0"/>
          <w:sz w:val="22"/>
        </w:rPr>
        <w:t>The prior argument is thorough, fair, and largely correct on the specifics. But its framing undersells what the compression actually accomplishes, and its critique of the truncation conflates an artifact of the *task format* with a deficiency in the *compression work itself*. Those are not the same problem.</w:t>
      </w:r>
    </w:p>
    <w:p>
      <w:pPr>
        <w:spacing w:after="0" w:before="0"/>
      </w:pPr>
    </w:p>
    <w:p>
      <w:pPr>
        <w:spacing w:after="120"/>
      </w:pPr>
      <w:r>
        <w:rPr>
          <w:rFonts w:ascii="Calibri" w:hAnsi="Calibri"/>
          <w:b w:val="0"/>
          <w:i w:val="0"/>
          <w:sz w:val="22"/>
        </w:rPr>
        <w:t>---</w:t>
      </w:r>
    </w:p>
    <w:p>
      <w:pPr>
        <w:spacing w:after="0" w:before="0"/>
      </w:pPr>
    </w:p>
    <w:p>
      <w:pPr>
        <w:spacing w:after="120"/>
      </w:pPr>
      <w:r>
        <w:rPr>
          <w:rFonts w:ascii="Calibri" w:hAnsi="Calibri"/>
          <w:b w:val="0"/>
          <w:i w:val="0"/>
          <w:sz w:val="22"/>
        </w:rPr>
        <w:t>### Where I Agree With Debater 1 â€” and Why That Matters</w:t>
      </w:r>
    </w:p>
    <w:p>
      <w:pPr>
        <w:spacing w:after="0" w:before="0"/>
      </w:pPr>
    </w:p>
    <w:p>
      <w:pPr>
        <w:spacing w:after="120"/>
      </w:pPr>
      <w:r>
        <w:rPr>
          <w:rFonts w:ascii="Calibri" w:hAnsi="Calibri"/>
          <w:b w:val="0"/>
          <w:i w:val="0"/>
          <w:sz w:val="22"/>
        </w:rPr>
        <w:t>Concede immediately: the **48-hour CAT3 deadline is unsourced**. Debater 1 is right. The source reasoning cites the 2026-06-27 audit deadline for CAT2 items only. The 48-hour CAT3 SLA does not appear in SOP-NET-042, the operator directive, or the NOC email. That is a factual claim introduced during drafting, not compressed from the source. Under any analytical standard, it must either be tied to a reference or removed. I hold this as a genuine defect, not a caveat.</w:t>
      </w:r>
    </w:p>
    <w:p>
      <w:pPr>
        <w:spacing w:after="0" w:before="0"/>
      </w:pPr>
    </w:p>
    <w:p>
      <w:pPr>
        <w:spacing w:after="120"/>
      </w:pPr>
      <w:r>
        <w:rPr>
          <w:rFonts w:ascii="Calibri" w:hAnsi="Calibri"/>
          <w:b w:val="0"/>
          <w:i w:val="0"/>
          <w:sz w:val="22"/>
        </w:rPr>
        <w:t>Concede partially: the **severity taxonomy reconciliation** between the operator directive's "CAT1 block" framing and the SOP's HIGH/MEDIUM labels is real tension. The compressed section handles it by defaulting to DISA convention, which is the correct professional choice â€” but Debater 1 is right that the reconciliation should be one explicit sentence rather than implicit. A downstream auditor deserves to see the reasoning.</w:t>
      </w:r>
    </w:p>
    <w:p>
      <w:pPr>
        <w:spacing w:after="0" w:before="0"/>
      </w:pPr>
    </w:p>
    <w:p>
      <w:pPr>
        <w:spacing w:after="120"/>
      </w:pPr>
      <w:r>
        <w:rPr>
          <w:rFonts w:ascii="Calibri" w:hAnsi="Calibri"/>
          <w:b w:val="0"/>
          <w:i w:val="0"/>
          <w:sz w:val="22"/>
        </w:rPr>
        <w:t>---</w:t>
      </w:r>
    </w:p>
    <w:p>
      <w:pPr>
        <w:spacing w:after="0" w:before="0"/>
      </w:pPr>
    </w:p>
    <w:p>
      <w:pPr>
        <w:spacing w:after="120"/>
      </w:pPr>
      <w:r>
        <w:rPr>
          <w:rFonts w:ascii="Calibri" w:hAnsi="Calibri"/>
          <w:b w:val="0"/>
          <w:i w:val="0"/>
          <w:sz w:val="22"/>
        </w:rPr>
        <w:t>### Where I Push Back â€” Truncation Is Not the Compression's Fault</w:t>
      </w:r>
    </w:p>
    <w:p>
      <w:pPr>
        <w:spacing w:after="0" w:before="0"/>
      </w:pPr>
    </w:p>
    <w:p>
      <w:pPr>
        <w:spacing w:after="120"/>
      </w:pPr>
      <w:r>
        <w:rPr>
          <w:rFonts w:ascii="Calibri" w:hAnsi="Calibri"/>
          <w:b w:val="0"/>
          <w:i w:val="0"/>
          <w:sz w:val="22"/>
        </w:rPr>
        <w:t>Debater 1's most prominent critique is that the BGP procedure is "truncated mid-sentence." This is accurate as a factual observation. But it is not a failure of the compression methodology â€” it is an artifact of the source text submitted for compression, which itself ends mid-procedure at "do not store in this d..."</w:t>
      </w:r>
    </w:p>
    <w:p>
      <w:pPr>
        <w:spacing w:after="0" w:before="0"/>
      </w:pPr>
    </w:p>
    <w:p>
      <w:pPr>
        <w:spacing w:after="120"/>
      </w:pPr>
      <w:r>
        <w:rPr>
          <w:rFonts w:ascii="Calibri" w:hAnsi="Calibri"/>
          <w:b w:val="0"/>
          <w:i w:val="0"/>
          <w:sz w:val="22"/>
        </w:rPr>
        <w:t>The compression task was to make the *provided content* denser without losing factual claims or citations. The compressed Â§4.1 and Â§4.2 preamble faithfully reproduce every claim, citation, and procedural anchor present in the source. The section did not *lose* the IOS config snippet or the post-change verification steps â€” those were never in the submitted text. A neutral reviewer should distinguish between "the compression dropped content" and "the source was incomplete." Debater 1 blurs that distinction, which overstates the compression's failure.</w:t>
      </w:r>
    </w:p>
    <w:p>
      <w:pPr>
        <w:spacing w:after="0" w:before="0"/>
      </w:pPr>
    </w:p>
    <w:p>
      <w:pPr>
        <w:spacing w:after="120"/>
      </w:pPr>
      <w:r>
        <w:rPr>
          <w:rFonts w:ascii="Calibri" w:hAnsi="Calibri"/>
          <w:b w:val="0"/>
          <w:i w:val="0"/>
          <w:sz w:val="22"/>
        </w:rPr>
        <w:t>---</w:t>
      </w:r>
    </w:p>
    <w:p>
      <w:pPr>
        <w:spacing w:after="0" w:before="0"/>
      </w:pPr>
    </w:p>
    <w:p>
      <w:pPr>
        <w:spacing w:after="120"/>
      </w:pPr>
      <w:r>
        <w:rPr>
          <w:rFonts w:ascii="Calibri" w:hAnsi="Calibri"/>
          <w:b w:val="0"/>
          <w:i w:val="0"/>
          <w:sz w:val="22"/>
        </w:rPr>
        <w:t>### The Affirmative Case: What the Compression Gets Right at Scale</w:t>
      </w:r>
    </w:p>
    <w:p>
      <w:pPr>
        <w:spacing w:after="0" w:before="0"/>
      </w:pPr>
    </w:p>
    <w:p>
      <w:pPr>
        <w:spacing w:after="120"/>
      </w:pPr>
      <w:r>
        <w:rPr>
          <w:rFonts w:ascii="Calibri" w:hAnsi="Calibri"/>
          <w:b w:val="0"/>
          <w:i w:val="0"/>
          <w:sz w:val="22"/>
        </w:rPr>
        <w:t>The compression earns moderate approval for three structural reasons:</w:t>
      </w:r>
    </w:p>
    <w:p>
      <w:pPr>
        <w:spacing w:after="0" w:before="0"/>
      </w:pPr>
    </w:p>
    <w:p>
      <w:pPr>
        <w:spacing w:after="120"/>
      </w:pPr>
      <w:r>
        <w:rPr>
          <w:rFonts w:ascii="Calibri" w:hAnsi="Calibri"/>
          <w:b w:val="0"/>
          <w:i w:val="0"/>
          <w:sz w:val="22"/>
        </w:rPr>
        <w:t>**1. Scope and pre-condition logic are precisely preserved.** The source reasoning at Steps 1â€“2 establishes a hard boundary: CAT1 in Â§3, everything else in Â§4. The compressed section enforces this boundary correctly and adds a pre-condition gate ("All CAT1 findings must be verified complete before proceeding") that is implied in the source but never stated explicitly. That is additive signal, not distortion.</w:t>
      </w:r>
    </w:p>
    <w:p>
      <w:pPr>
        <w:spacing w:after="0" w:before="0"/>
      </w:pPr>
    </w:p>
    <w:p>
      <w:pPr>
        <w:spacing w:after="120"/>
      </w:pPr>
      <w:r>
        <w:rPr>
          <w:rFonts w:ascii="Calibri" w:hAnsi="Calibri"/>
          <w:b w:val="0"/>
          <w:i w:val="0"/>
          <w:sz w:val="22"/>
        </w:rPr>
        <w:t>**2. SOP-NET-042 Â§7 traceability holds.** Every pre-work item in Â§4.1 maps to a documented SOP obligation: ServiceNow ticket, config backup, TACACS+ reachability, rollback documentation. The TFTP path (`172.16.0.100`) and the AAA test command are reproduced verbatim. This is exactly what density-without-loss requires â€” the citation chain is intact.</w:t>
      </w:r>
    </w:p>
    <w:p>
      <w:pPr>
        <w:spacing w:after="0" w:before="0"/>
      </w:pPr>
    </w:p>
    <w:p>
      <w:pPr>
        <w:spacing w:after="120"/>
      </w:pPr>
      <w:r>
        <w:rPr>
          <w:rFonts w:ascii="Calibri" w:hAnsi="Calibri"/>
          <w:b w:val="0"/>
          <w:i w:val="0"/>
          <w:sz w:val="22"/>
        </w:rPr>
        <w:t>**3. The finding framing for BGP MD5 is technically accurate.** "Session hijacking and route injection" is the correct threat model for an unauthenticated external BGP session. SOP-SEC-018 is correctly cited. The baseline verification step before the change window is sound operational hygiene. Nothing here is invented or overstated.</w:t>
      </w:r>
    </w:p>
    <w:p>
      <w:pPr>
        <w:spacing w:after="0" w:before="0"/>
      </w:pPr>
    </w:p>
    <w:p>
      <w:pPr>
        <w:spacing w:after="120"/>
      </w:pPr>
      <w:r>
        <w:rPr>
          <w:rFonts w:ascii="Calibri" w:hAnsi="Calibri"/>
          <w:b w:val="0"/>
          <w:i w:val="0"/>
          <w:sz w:val="22"/>
        </w:rPr>
        <w:t>---</w:t>
      </w:r>
    </w:p>
    <w:p>
      <w:pPr>
        <w:spacing w:after="0" w:before="0"/>
      </w:pPr>
    </w:p>
    <w:p>
      <w:pPr>
        <w:spacing w:after="120"/>
      </w:pPr>
      <w:r>
        <w:rPr>
          <w:rFonts w:ascii="Calibri" w:hAnsi="Calibri"/>
          <w:b w:val="0"/>
          <w:i w:val="0"/>
          <w:sz w:val="22"/>
        </w:rPr>
        <w:t>### The Honest Caveat â€” Evidence Anchors Are Thin</w:t>
      </w:r>
    </w:p>
    <w:p>
      <w:pPr>
        <w:spacing w:after="0" w:before="0"/>
      </w:pPr>
    </w:p>
    <w:p>
      <w:pPr>
        <w:spacing w:after="120"/>
      </w:pPr>
      <w:r>
        <w:rPr>
          <w:rFonts w:ascii="Calibri" w:hAnsi="Calibri"/>
          <w:b w:val="0"/>
          <w:i w:val="0"/>
          <w:sz w:val="22"/>
        </w:rPr>
        <w:t>Debater 1's point about evidence density vs. traceability is valid, though I would frame it differently. The compressed section cites the NOC email (2026-06-26) and operator directive for BGP, but does not anchor *what* in those sources establishes the CAT2 classification. For a document that will face a Palo Alto firewall audit on 2026-06-27, that thinness is a practical risk. An auditor who cannot quickly find the severity basis in the cited document will slow the process.</w:t>
      </w:r>
    </w:p>
    <w:p>
      <w:pPr>
        <w:spacing w:after="0" w:before="0"/>
      </w:pPr>
    </w:p>
    <w:p>
      <w:pPr>
        <w:spacing w:after="120"/>
      </w:pPr>
      <w:r>
        <w:rPr>
          <w:rFonts w:ascii="Calibri" w:hAnsi="Calibri"/>
          <w:b w:val="0"/>
          <w:i w:val="0"/>
          <w:sz w:val="22"/>
        </w:rPr>
        <w:t>The fix is narrow: one-line evidence anchors per finding, as Debater 1 recommends. This does not require re-expanding the section â€” it requires appending a parenthetical per citation. That is consistent with the compression goal.</w:t>
      </w:r>
    </w:p>
    <w:p>
      <w:pPr>
        <w:spacing w:after="0" w:before="0"/>
      </w:pPr>
    </w:p>
    <w:p>
      <w:pPr>
        <w:spacing w:after="120"/>
      </w:pPr>
      <w:r>
        <w:rPr>
          <w:rFonts w:ascii="Calibri" w:hAnsi="Calibri"/>
          <w:b w:val="0"/>
          <w:i w:val="0"/>
          <w:sz w:val="22"/>
        </w:rPr>
        <w:t>---</w:t>
      </w:r>
    </w:p>
    <w:p>
      <w:pPr>
        <w:spacing w:after="0" w:before="0"/>
      </w:pPr>
    </w:p>
    <w:p>
      <w:pPr>
        <w:spacing w:after="120"/>
      </w:pPr>
      <w:r>
        <w:rPr>
          <w:rFonts w:ascii="Calibri" w:hAnsi="Calibri"/>
          <w:b w:val="0"/>
          <w:i w:val="0"/>
          <w:sz w:val="22"/>
        </w:rPr>
        <w:t>### Net Position</w:t>
      </w:r>
    </w:p>
    <w:p>
      <w:pPr>
        <w:spacing w:after="0" w:before="0"/>
      </w:pPr>
    </w:p>
    <w:p>
      <w:pPr>
        <w:spacing w:after="120"/>
      </w:pPr>
      <w:r>
        <w:rPr>
          <w:rFonts w:ascii="Calibri" w:hAnsi="Calibri"/>
          <w:b w:val="0"/>
          <w:i w:val="0"/>
          <w:sz w:val="22"/>
        </w:rPr>
        <w:t>The compression is **functionally ready for the sections it covers**, with two required corrections before operational use:</w:t>
      </w:r>
    </w:p>
    <w:p>
      <w:pPr>
        <w:spacing w:after="0" w:before="0"/>
      </w:pPr>
    </w:p>
    <w:p>
      <w:pPr>
        <w:spacing w:after="120"/>
      </w:pPr>
      <w:r>
        <w:rPr>
          <w:rFonts w:ascii="Calibri" w:hAnsi="Calibri"/>
          <w:b w:val="0"/>
          <w:i w:val="0"/>
          <w:sz w:val="22"/>
        </w:rPr>
        <w:t>1. Remove or source the 48-hour CAT3 deadline.</w:t>
      </w:r>
    </w:p>
    <w:p>
      <w:pPr>
        <w:spacing w:after="120"/>
      </w:pPr>
      <w:r>
        <w:rPr>
          <w:rFonts w:ascii="Calibri" w:hAnsi="Calibri"/>
          <w:b w:val="0"/>
          <w:i w:val="0"/>
          <w:sz w:val="22"/>
        </w:rPr>
        <w:t>2. Add one-line evidence anchors per finding to support the 2026-06-27 audit.</w:t>
      </w:r>
    </w:p>
    <w:p>
      <w:pPr>
        <w:spacing w:after="0" w:before="0"/>
      </w:pPr>
    </w:p>
    <w:p>
      <w:pPr>
        <w:spacing w:after="120"/>
      </w:pPr>
      <w:r>
        <w:rPr>
          <w:rFonts w:ascii="Calibri" w:hAnsi="Calibri"/>
          <w:b w:val="0"/>
          <w:i w:val="0"/>
          <w:sz w:val="22"/>
        </w:rPr>
        <w:t>The truncation is a source problem, not a compression problem. The severity taxonomy reconciliation should be explicit but is not a blocking defect. Everything else in Â§4.1 and the completed portion of Â§4.2 is accurate, traceable, and appropriately dense.</w:t>
      </w:r>
    </w:p>
    <w:p>
      <w:pPr>
        <w:spacing w:after="0" w:before="0"/>
      </w:pPr>
    </w:p>
    <w:p>
      <w:pPr>
        <w:spacing w:after="120"/>
      </w:pPr>
      <w:r>
        <w:rPr>
          <w:rFonts w:ascii="Calibri" w:hAnsi="Calibri"/>
          <w:b w:val="0"/>
          <w:i w:val="0"/>
          <w:sz w:val="22"/>
        </w:rPr>
        <w:t>Moderately in favor â€” this compression is worth keeping and requires targeted corrections, not a rewrite.</w:t>
      </w:r>
    </w:p>
    <w:p>
      <w:pPr>
        <w:spacing w:after="0" w:before="0"/>
      </w:pPr>
    </w:p>
    <w:p>
      <w:pPr>
        <w:spacing w:after="120"/>
      </w:pPr>
      <w:r>
        <w:rPr>
          <w:rFonts w:ascii="Calibri" w:hAnsi="Calibri"/>
          <w:b w:val="0"/>
          <w:i w:val="0"/>
          <w:sz w:val="22"/>
        </w:rPr>
        <w:t>[ARGUMENT]</w:t>
      </w:r>
    </w:p>
    <w:p>
      <w:pPr>
        <w:spacing w:after="0" w:before="0"/>
      </w:pPr>
    </w:p>
    <w:p>
      <w:pPr>
        <w:pStyle w:val="Heading2"/>
      </w:pPr>
      <w:r>
        <w:rPr>
          <w:b/>
          <w:color w:val="C8A951"/>
          <w:sz w:val="26"/>
        </w:rPr>
        <w:t>5. Post-Remediation Verification</w:t>
      </w:r>
    </w:p>
    <w:p>
      <w:pPr>
        <w:spacing w:after="120"/>
      </w:pPr>
      <w:r>
        <w:rPr>
          <w:rFonts w:ascii="Calibri" w:hAnsi="Calibri"/>
          <w:b w:val="0"/>
          <w:i w:val="0"/>
          <w:sz w:val="22"/>
        </w:rPr>
        <w:t>Debater 1 makes a fair structural observation about the truncation, but draws the wrong practical conclusions from it â€” and their proposed solution quietly introduces a flaw more damaging than the one they diagnosed.</w:t>
      </w:r>
    </w:p>
    <w:p>
      <w:pPr>
        <w:spacing w:after="0" w:before="0"/>
      </w:pPr>
    </w:p>
    <w:p>
      <w:pPr>
        <w:spacing w:after="120"/>
      </w:pPr>
      <w:r>
        <w:rPr>
          <w:rFonts w:ascii="Calibri" w:hAnsi="Calibri"/>
          <w:b w:val="0"/>
          <w:i w:val="0"/>
          <w:sz w:val="22"/>
        </w:rPr>
        <w:t>**First: what the truncation actually affects.**</w:t>
      </w:r>
    </w:p>
    <w:p>
      <w:pPr>
        <w:spacing w:after="0" w:before="0"/>
      </w:pPr>
    </w:p>
    <w:p>
      <w:pPr>
        <w:spacing w:after="120"/>
      </w:pPr>
      <w:r>
        <w:rPr>
          <w:rFonts w:ascii="Calibri" w:hAnsi="Calibri"/>
          <w:b w:val="0"/>
          <w:i w:val="0"/>
          <w:sz w:val="22"/>
        </w:rPr>
        <w:t>Debater 1 frames the incompleteness as if the entire detailed procedure section (VFY-01 through VFY-06) is missing. That is not accurate. Read the source carefully: VFY-02 through VFY-06 appear **only as checklist rows** in Section 5.1. No detailed procedures were ever provided for them in the original draft. The truncation affects precisely one thing: VFY-01's Step 3, which cuts off after "Confirm SSH version 2" with no command or expected output. That is a narrow, bounded gap â€” not a wholesale missing section.</w:t>
      </w:r>
    </w:p>
    <w:p>
      <w:pPr>
        <w:spacing w:after="0" w:before="0"/>
      </w:pPr>
    </w:p>
    <w:p>
      <w:pPr>
        <w:spacing w:after="120"/>
      </w:pPr>
      <w:r>
        <w:rPr>
          <w:rFonts w:ascii="Calibri" w:hAnsi="Calibri"/>
          <w:b w:val="0"/>
          <w:i w:val="0"/>
          <w:sz w:val="22"/>
        </w:rPr>
        <w:t>Debater 1's response to this narrow gap is to add the phrase "to be completed from source" as a Procedure/Expected Result cell for VFY-02 through VFY-06. But those items had no detailed procedure text to begin with. Adding placeholder noise to rows that were already complete as checklist entries is **editorializing**, which is exactly the neutrality violation Debater 1 warned against.</w:t>
      </w:r>
    </w:p>
    <w:p>
      <w:pPr>
        <w:spacing w:after="0" w:before="0"/>
      </w:pPr>
    </w:p>
    <w:p>
      <w:pPr>
        <w:spacing w:after="120"/>
      </w:pPr>
      <w:r>
        <w:rPr>
          <w:rFonts w:ascii="Calibri" w:hAnsi="Calibri"/>
          <w:b w:val="0"/>
          <w:i w:val="0"/>
          <w:sz w:val="22"/>
        </w:rPr>
        <w:t>**Second: the compression task is valid and achievable for the content that exists.**</w:t>
      </w:r>
    </w:p>
    <w:p>
      <w:pPr>
        <w:spacing w:after="0" w:before="0"/>
      </w:pPr>
    </w:p>
    <w:p>
      <w:pPr>
        <w:spacing w:after="120"/>
      </w:pPr>
      <w:r>
        <w:rPr>
          <w:rFonts w:ascii="Calibri" w:hAnsi="Calibri"/>
          <w:b w:val="0"/>
          <w:i w:val="0"/>
          <w:sz w:val="22"/>
        </w:rPr>
        <w:t>The original section has genuine verbosity worth compressing:</w:t>
      </w:r>
    </w:p>
    <w:p>
      <w:pPr>
        <w:spacing w:after="0" w:before="0"/>
      </w:pPr>
    </w:p>
    <w:p>
      <w:pPr>
        <w:pStyle w:val="ListBullet"/>
        <w:spacing w:after="80"/>
        <w:ind w:left="360"/>
      </w:pPr>
      <w:r>
        <w:rPr>
          <w:rFonts w:ascii="Calibri" w:hAnsi="Calibri"/>
          <w:sz w:val="22"/>
        </w:rPr>
        <w:t>The "Reasoning through the evidence" block (Steps 1â€“5) is pre-work scaffolding that belongs in a drafter's notes, not in a deliverable section.</w:t>
      </w:r>
    </w:p>
    <w:p>
      <w:pPr>
        <w:pStyle w:val="ListBullet"/>
        <w:spacing w:after="80"/>
        <w:ind w:left="360"/>
      </w:pPr>
      <w:r>
        <w:rPr>
          <w:rFonts w:ascii="Calibri" w:hAnsi="Calibri"/>
          <w:sz w:val="22"/>
        </w:rPr>
        <w:t>The Section 5 preamble repeats device, deadline, and governing directive information that can be collapsed into two lines without losing any factual claim.</w:t>
      </w:r>
    </w:p>
    <w:p>
      <w:pPr>
        <w:pStyle w:val="ListBullet"/>
        <w:spacing w:after="80"/>
        <w:ind w:left="360"/>
      </w:pPr>
      <w:r>
        <w:rPr>
          <w:rFonts w:ascii="Calibri" w:hAnsi="Calibri"/>
          <w:sz w:val="22"/>
        </w:rPr>
        <w:t>VFY-01's detailed procedure contains three steps that compress cleanly: one connectivity test, one `show` command with a specific expected-output rule, and the truncated SSH v2 step.</w:t>
      </w:r>
    </w:p>
    <w:p>
      <w:pPr>
        <w:spacing w:after="0" w:before="0"/>
      </w:pPr>
    </w:p>
    <w:p>
      <w:pPr>
        <w:spacing w:after="120"/>
      </w:pPr>
      <w:r>
        <w:rPr>
          <w:rFonts w:ascii="Calibri" w:hAnsi="Calibri"/>
          <w:b w:val="0"/>
          <w:i w:val="0"/>
          <w:sz w:val="22"/>
        </w:rPr>
        <w:t>The citation references â€” STIG V-220130 (CAT1), SOP-NET-042 Â§4.1/Â§4.2/Â§5.2/Â§6.1/Â§7, SOP-SEC-018, both TACACS+ server IPs, both deadline buckets, the co-sign requirement, and the Network Engineering and CISO sign-off requirement â€” all survive compression. None require the verbose scaffolding to remain intact.</w:t>
      </w:r>
    </w:p>
    <w:p>
      <w:pPr>
        <w:spacing w:after="0" w:before="0"/>
      </w:pPr>
    </w:p>
    <w:p>
      <w:pPr>
        <w:spacing w:after="120"/>
      </w:pPr>
      <w:r>
        <w:rPr>
          <w:rFonts w:ascii="Calibri" w:hAnsi="Calibri"/>
          <w:b w:val="0"/>
          <w:i w:val="0"/>
          <w:sz w:val="22"/>
        </w:rPr>
        <w:t>**My caveat, stated honestly.**</w:t>
      </w:r>
    </w:p>
    <w:p>
      <w:pPr>
        <w:spacing w:after="0" w:before="0"/>
      </w:pPr>
    </w:p>
    <w:p>
      <w:pPr>
        <w:spacing w:after="120"/>
      </w:pPr>
      <w:r>
        <w:rPr>
          <w:rFonts w:ascii="Calibri" w:hAnsi="Calibri"/>
          <w:b w:val="0"/>
          <w:i w:val="0"/>
          <w:sz w:val="22"/>
        </w:rPr>
        <w:t>The only legitimate caveat is the one Debater 1 correctly identified, stated more precisely: VFY-01 Step 3 is truncated and the SSH v2 verification command plus expected output are missing from the source. A compressed output should note this specifically and narrowly, rather than treating the entire detailed-procedure section as absent. That caveat should appear as a single line at the end of VFY-01's compressed entry, not as placeholder cells polluting an otherwise complete checklist table.</w:t>
      </w:r>
    </w:p>
    <w:p>
      <w:pPr>
        <w:spacing w:after="0" w:before="0"/>
      </w:pPr>
    </w:p>
    <w:p>
      <w:pPr>
        <w:spacing w:after="120"/>
      </w:pPr>
      <w:r>
        <w:rPr>
          <w:rFonts w:ascii="Calibri" w:hAnsi="Calibri"/>
          <w:b w:val="0"/>
          <w:i w:val="0"/>
          <w:sz w:val="22"/>
        </w:rPr>
        <w:t>**The case for my position.**</w:t>
      </w:r>
    </w:p>
    <w:p>
      <w:pPr>
        <w:spacing w:after="0" w:before="0"/>
      </w:pPr>
    </w:p>
    <w:p>
      <w:pPr>
        <w:spacing w:after="120"/>
      </w:pPr>
      <w:r>
        <w:rPr>
          <w:rFonts w:ascii="Calibri" w:hAnsi="Calibri"/>
          <w:b w:val="0"/>
          <w:i w:val="0"/>
          <w:sz w:val="22"/>
        </w:rPr>
        <w:t>The compression is appropriate, achievable, and produces a materially denser section without sacrificing a single factual claim or citation. The pre-work reasoning block, the redundant preamble prose, and the multi-paragraph VFY-01 procedure can all be tightened. The checklist table in 5.1 is already efficient and should anchor the compressed output. The truncation requires one honest footnote on one item â€” not a restructuring that makes the output longer and noisier than the original for five of the six entries.</w:t>
      </w:r>
    </w:p>
    <w:p>
      <w:pPr>
        <w:spacing w:after="0" w:before="0"/>
      </w:pPr>
    </w:p>
    <w:p>
      <w:pPr>
        <w:spacing w:after="120"/>
      </w:pPr>
      <w:r>
        <w:rPr>
          <w:rFonts w:ascii="Calibri" w:hAnsi="Calibri"/>
          <w:b w:val="0"/>
          <w:i w:val="0"/>
          <w:sz w:val="22"/>
        </w:rPr>
        <w:t>The strongest position is: compress aggressively what is there, flag narrowly what is not, and do not mistake a bounded truncation for a license to add hedging language that inflates the very output the task asked to reduce.</w:t>
      </w:r>
    </w:p>
    <w:p>
      <w:pPr>
        <w:spacing w:after="0" w:before="0"/>
      </w:pPr>
    </w:p>
    <w:p>
      <w:pPr>
        <w:spacing w:after="120"/>
      </w:pPr>
      <w:r>
        <w:rPr>
          <w:rFonts w:ascii="Calibri" w:hAnsi="Calibri"/>
          <w:b w:val="0"/>
          <w:i w:val="0"/>
          <w:sz w:val="22"/>
        </w:rPr>
        <w:t>[ARGUMENT]</w:t>
      </w:r>
    </w:p>
    <w:p>
      <w:pPr>
        <w:spacing w:after="0" w:before="0"/>
      </w:pPr>
    </w:p>
    <w:p>
      <w:pPr>
        <w:pStyle w:val="Heading2"/>
      </w:pPr>
      <w:r>
        <w:rPr>
          <w:b/>
          <w:color w:val="C8A951"/>
          <w:sz w:val="26"/>
        </w:rPr>
        <w:t>6. Optimization Recommendations</w:t>
      </w:r>
    </w:p>
    <w:p>
      <w:pPr>
        <w:spacing w:after="120"/>
      </w:pPr>
      <w:r>
        <w:rPr>
          <w:rFonts w:ascii="Calibri" w:hAnsi="Calibri"/>
          <w:b w:val="0"/>
          <w:i w:val="0"/>
          <w:sz w:val="22"/>
        </w:rPr>
        <w:t>The neutral argument makes a competent case for compression and its proposed version is largely correct. But "largely" is doing real work there, and the caveats matter precisely because this is an audit artifact, not a Slack message.</w:t>
      </w:r>
    </w:p>
    <w:p>
      <w:pPr>
        <w:spacing w:after="0" w:before="0"/>
      </w:pPr>
    </w:p>
    <w:p>
      <w:pPr>
        <w:spacing w:after="120"/>
      </w:pPr>
      <w:r>
        <w:rPr>
          <w:rFonts w:ascii="Calibri" w:hAnsi="Calibri"/>
          <w:b w:val="0"/>
          <w:i w:val="0"/>
          <w:sz w:val="22"/>
        </w:rPr>
        <w:t>**Where I agree with the prior argument:**</w:t>
      </w:r>
    </w:p>
    <w:p>
      <w:pPr>
        <w:spacing w:after="0" w:before="0"/>
      </w:pPr>
    </w:p>
    <w:p>
      <w:pPr>
        <w:spacing w:after="120"/>
      </w:pPr>
      <w:r>
        <w:rPr>
          <w:rFonts w:ascii="Calibri" w:hAnsi="Calibri"/>
          <w:b w:val="0"/>
          <w:i w:val="0"/>
          <w:sz w:val="22"/>
        </w:rPr>
        <w:t>The original draft is padded. Repeating CAT1 framing in both the finding and risk paragraphs, adding explanatory prose inside config block comments, and restating remediations inside acceptance criteria â€” all of that is recoverable fat. The proposed compression removes it cleanly. I endorse that work without reservation.</w:t>
      </w:r>
    </w:p>
    <w:p>
      <w:pPr>
        <w:spacing w:after="0" w:before="0"/>
      </w:pPr>
    </w:p>
    <w:p>
      <w:pPr>
        <w:spacing w:after="120"/>
      </w:pPr>
      <w:r>
        <w:rPr>
          <w:rFonts w:ascii="Calibri" w:hAnsi="Calibri"/>
          <w:b w:val="0"/>
          <w:i w:val="0"/>
          <w:sz w:val="22"/>
        </w:rPr>
        <w:t>**Where the prior argument undersells the risk of over-compression:**</w:t>
      </w:r>
    </w:p>
    <w:p>
      <w:pPr>
        <w:spacing w:after="0" w:before="0"/>
      </w:pPr>
    </w:p>
    <w:p>
      <w:pPr>
        <w:spacing w:after="120"/>
      </w:pPr>
      <w:r>
        <w:rPr>
          <w:rFonts w:ascii="Calibri" w:hAnsi="Calibri"/>
          <w:b w:val="0"/>
          <w:i w:val="0"/>
          <w:sz w:val="22"/>
        </w:rPr>
        <w:t>The neutral position treats structure preservation as a courtesy. I'd argue it's load-bearing. Consider what the compressed P3 section actually delivers:</w:t>
      </w:r>
    </w:p>
    <w:p>
      <w:pPr>
        <w:spacing w:after="0" w:before="0"/>
      </w:pPr>
    </w:p>
    <w:p>
      <w:pPr>
        <w:spacing w:after="120"/>
      </w:pPr>
      <w:r>
        <w:rPr>
          <w:rFonts w:ascii="Calibri" w:hAnsi="Calibri"/>
          <w:b w:val="0"/>
          <w:i w:val="0"/>
          <w:sz w:val="22"/>
        </w:rPr>
        <w:t>&gt; **6.6 P3 Hardening** â€” three bullets, one authority line tacked at the end.</w:t>
      </w:r>
    </w:p>
    <w:p>
      <w:pPr>
        <w:spacing w:after="0" w:before="0"/>
      </w:pPr>
    </w:p>
    <w:p>
      <w:pPr>
        <w:spacing w:after="120"/>
      </w:pPr>
      <w:r>
        <w:rPr>
          <w:rFonts w:ascii="Calibri" w:hAnsi="Calibri"/>
          <w:b w:val="0"/>
          <w:i w:val="0"/>
          <w:sz w:val="22"/>
        </w:rPr>
        <w:t>The TACACS+ authority (SOP-NET-042 Â§6.1, servers 192.168.100.10 and .11) has been relocated from a standalone remediation item into a footnote on the P3 bucket. That's not a stylistic choice â€” it obscures that TACACS+ is a *distinct finding with confirmed reachability*, not a background note on NTP and legacy switches. An auditor scanning for Â§6.1 compliance evidence will miss it.</w:t>
      </w:r>
    </w:p>
    <w:p>
      <w:pPr>
        <w:spacing w:after="0" w:before="0"/>
      </w:pPr>
    </w:p>
    <w:p>
      <w:pPr>
        <w:spacing w:after="120"/>
      </w:pPr>
      <w:r>
        <w:rPr>
          <w:rFonts w:ascii="Calibri" w:hAnsi="Calibri"/>
          <w:b w:val="0"/>
          <w:i w:val="0"/>
          <w:sz w:val="22"/>
        </w:rPr>
        <w:t>The prior argument's own principle states: *"Citations are the compliance payload."* Appending a citation to a section it doesn't govern violates that principle in the very revision being proposed.</w:t>
      </w:r>
    </w:p>
    <w:p>
      <w:pPr>
        <w:spacing w:after="0" w:before="0"/>
      </w:pPr>
    </w:p>
    <w:p>
      <w:pPr>
        <w:spacing w:after="120"/>
      </w:pPr>
      <w:r>
        <w:rPr>
          <w:rFonts w:ascii="Calibri" w:hAnsi="Calibri"/>
          <w:b w:val="0"/>
          <w:i w:val="0"/>
          <w:sz w:val="22"/>
        </w:rPr>
        <w:t>**My specific caveats:**</w:t>
      </w:r>
    </w:p>
    <w:p>
      <w:pPr>
        <w:spacing w:after="0" w:before="0"/>
      </w:pPr>
    </w:p>
    <w:p>
      <w:pPr>
        <w:spacing w:after="120"/>
      </w:pPr>
      <w:r>
        <w:rPr>
          <w:rFonts w:ascii="Calibri" w:hAnsi="Calibri"/>
          <w:b w:val="0"/>
          <w:i w:val="0"/>
          <w:sz w:val="22"/>
        </w:rPr>
        <w:t>1. **TACACS+ must remain a discrete line item.** It has a named finding, a specific authority (Â§6.1), and confirmed server IPs. Collapsing it into P3 prose drops its traceability.</w:t>
      </w:r>
    </w:p>
    <w:p>
      <w:pPr>
        <w:spacing w:after="0" w:before="0"/>
      </w:pPr>
    </w:p>
    <w:p>
      <w:pPr>
        <w:spacing w:after="120"/>
      </w:pPr>
      <w:r>
        <w:rPr>
          <w:rFonts w:ascii="Calibri" w:hAnsi="Calibri"/>
          <w:b w:val="0"/>
          <w:i w:val="0"/>
          <w:sz w:val="22"/>
        </w:rPr>
        <w:t>2. **The incomplete SNMP finding in the original** ("This additionally a...") signals the source document was cut off. The compression should not paper over that gap by producing clean-looking prose where the original reasoning may be incomplete. Flag it with a placeholder rather than silently eliding it.</w:t>
      </w:r>
    </w:p>
    <w:p>
      <w:pPr>
        <w:spacing w:after="0" w:before="0"/>
      </w:pPr>
    </w:p>
    <w:p>
      <w:pPr>
        <w:spacing w:after="120"/>
      </w:pPr>
      <w:r>
        <w:rPr>
          <w:rFonts w:ascii="Calibri" w:hAnsi="Calibri"/>
          <w:b w:val="0"/>
          <w:i w:val="0"/>
          <w:sz w:val="22"/>
        </w:rPr>
        <w:t>3. **Config blocks should be preserved verbatim.** The prior argument's version does this correctly and I endorse it. A compressed config block that omits line structure is not a config block â€” it's an imprecise instruction that generates change tickets for the wrong scope.</w:t>
      </w:r>
    </w:p>
    <w:p>
      <w:pPr>
        <w:spacing w:after="0" w:before="0"/>
      </w:pPr>
    </w:p>
    <w:p>
      <w:pPr>
        <w:spacing w:after="120"/>
      </w:pPr>
      <w:r>
        <w:rPr>
          <w:rFonts w:ascii="Calibri" w:hAnsi="Calibri"/>
          <w:b w:val="0"/>
          <w:i w:val="0"/>
          <w:sz w:val="22"/>
        </w:rPr>
        <w:t>4. **Acceptance criteria length is calibrated correctly in the prior version.** Do not shorten further. Each criterion is one measurable statement tied to a show command. That's the minimum viable evidence format for a CAT1 closure.</w:t>
      </w:r>
    </w:p>
    <w:p>
      <w:pPr>
        <w:spacing w:after="0" w:before="0"/>
      </w:pPr>
    </w:p>
    <w:p>
      <w:pPr>
        <w:spacing w:after="120"/>
      </w:pPr>
      <w:r>
        <w:rPr>
          <w:rFonts w:ascii="Calibri" w:hAnsi="Calibri"/>
          <w:b w:val="0"/>
          <w:i w:val="0"/>
          <w:sz w:val="22"/>
        </w:rPr>
        <w:t>**Net position:**</w:t>
      </w:r>
    </w:p>
    <w:p>
      <w:pPr>
        <w:spacing w:after="0" w:before="0"/>
      </w:pPr>
    </w:p>
    <w:p>
      <w:pPr>
        <w:spacing w:after="120"/>
      </w:pPr>
      <w:r>
        <w:rPr>
          <w:rFonts w:ascii="Calibri" w:hAnsi="Calibri"/>
          <w:b w:val="0"/>
          <w:i w:val="0"/>
          <w:sz w:val="22"/>
        </w:rPr>
        <w:t>Compress. The prior argument's version achieves ~40% length reduction while preserving every source reference and specific value. I endorse that version with two targeted corrections: restore TACACS+ as item 6.6 in P2 or a standalone P3 entry with its own authority line, and add an explicit flag on Â§6.2 noting the source document was truncated and requires verification before the SNMP risk statement is treated as complete.</w:t>
      </w:r>
    </w:p>
    <w:p>
      <w:pPr>
        <w:spacing w:after="0" w:before="0"/>
      </w:pPr>
    </w:p>
    <w:p>
      <w:pPr>
        <w:spacing w:after="120"/>
      </w:pPr>
      <w:r>
        <w:rPr>
          <w:rFonts w:ascii="Calibri" w:hAnsi="Calibri"/>
          <w:b w:val="0"/>
          <w:i w:val="0"/>
          <w:sz w:val="22"/>
        </w:rPr>
        <w:t>Compression is correct. Treating every word as equally recoverable is not.</w:t>
      </w:r>
    </w:p>
    <w:p>
      <w:pPr>
        <w:spacing w:after="0" w:before="0"/>
      </w:pPr>
    </w:p>
    <w:p>
      <w:pPr>
        <w:spacing w:after="120"/>
      </w:pPr>
      <w:r>
        <w:rPr>
          <w:rFonts w:ascii="Calibri" w:hAnsi="Calibri"/>
          <w:b w:val="0"/>
          <w:i w:val="0"/>
          <w:sz w:val="22"/>
        </w:rPr>
        <w:t>[ARGUMENT]</w:t>
      </w:r>
    </w:p>
    <w:p>
      <w:pPr>
        <w:spacing w:after="0" w:before="0"/>
      </w:pPr>
    </w:p>
    <w:p>
      <w:pPr>
        <w:spacing w:after="120"/>
      </w:pPr>
      <w:r>
        <w:rPr>
          <w:rFonts w:ascii="Calibri" w:hAnsi="Calibri"/>
          <w:b w:val="0"/>
          <w:i w:val="0"/>
          <w:sz w:val="22"/>
        </w:rPr>
        <w:t>---</w:t>
      </w:r>
    </w:p>
    <w:p>
      <w:pPr>
        <w:spacing w:after="0" w:before="0"/>
      </w:pPr>
    </w:p>
    <w:p>
      <w:pPr>
        <w:pStyle w:val="Heading2"/>
      </w:pPr>
      <w:r>
        <w:rPr>
          <w:b/>
          <w:color w:val="C8A951"/>
          <w:sz w:val="26"/>
        </w:rPr>
        <w:t>Appendix: Compliance Framework Applicability</w:t>
      </w:r>
    </w:p>
    <w:p>
      <w:pPr>
        <w:spacing w:after="0" w:before="0"/>
      </w:pPr>
    </w:p>
    <w:p>
      <w:pPr>
        <w:spacing w:after="120"/>
      </w:pPr>
      <w:r>
        <w:rPr>
          <w:rFonts w:ascii="Calibri" w:hAnsi="Calibri"/>
          <w:b w:val="0"/>
          <w:i w:val="0"/>
          <w:sz w:val="22"/>
        </w:rPr>
        <w:t>**Impact Level:** MODERATE  |  **Classification:** CUI</w:t>
      </w:r>
    </w:p>
    <w:p>
      <w:pPr>
        <w:spacing w:after="0" w:before="0"/>
      </w:pPr>
    </w:p>
    <w:p>
      <w:pPr>
        <w:spacing w:after="120"/>
      </w:pPr>
      <w:r>
        <w:rPr>
          <w:rFonts w:ascii="Calibri" w:hAnsi="Calibri"/>
          <w:b w:val="0"/>
          <w:i w:val="0"/>
          <w:sz w:val="22"/>
        </w:rPr>
        <w:t>| Framework | Applicability |</w:t>
      </w:r>
    </w:p>
    <w:p>
      <w:pPr>
        <w:spacing w:after="120"/>
      </w:pPr>
      <w:r>
        <w:rPr>
          <w:rFonts w:ascii="Calibri" w:hAnsi="Calibri"/>
          <w:b w:val="0"/>
          <w:i w:val="0"/>
          <w:sz w:val="22"/>
        </w:rPr>
        <w:t>|---|---|</w:t>
      </w:r>
    </w:p>
    <w:p>
      <w:pPr>
        <w:spacing w:after="120"/>
      </w:pPr>
      <w:r>
        <w:rPr>
          <w:rFonts w:ascii="Calibri" w:hAnsi="Calibri"/>
          <w:b w:val="0"/>
          <w:i w:val="0"/>
          <w:sz w:val="22"/>
        </w:rPr>
        <w:t>| NIST SP 800-53 Rev 5 Moderate | Required |</w:t>
      </w:r>
    </w:p>
    <w:p>
      <w:pPr>
        <w:spacing w:after="120"/>
      </w:pPr>
      <w:r>
        <w:rPr>
          <w:rFonts w:ascii="Calibri" w:hAnsi="Calibri"/>
          <w:b w:val="0"/>
          <w:i w:val="0"/>
          <w:sz w:val="22"/>
        </w:rPr>
        <w:t>| FedRAMP Moderate | Required |</w:t>
      </w:r>
    </w:p>
    <w:p>
      <w:pPr>
        <w:spacing w:after="120"/>
      </w:pPr>
      <w:r>
        <w:rPr>
          <w:rFonts w:ascii="Calibri" w:hAnsi="Calibri"/>
          <w:b w:val="0"/>
          <w:i w:val="0"/>
          <w:sz w:val="22"/>
        </w:rPr>
        <w:t>| CMMC Level 2 | Required |</w:t>
      </w:r>
    </w:p>
    <w:p>
      <w:pPr>
        <w:spacing w:after="0" w:before="0"/>
      </w:pPr>
    </w:p>
    <w:p>
      <w:pPr>
        <w:spacing w:after="120"/>
      </w:pPr>
      <w:r>
        <w:rPr>
          <w:rFonts w:ascii="Calibri" w:hAnsi="Calibri"/>
          <w:b w:val="0"/>
          <w:i w:val="0"/>
          <w:sz w:val="22"/>
        </w:rPr>
        <w:t>_Crosswalk coverage: N/A control mappings loaded._</w:t>
      </w:r>
    </w:p>
    <w:p>
      <w:pPr>
        <w:spacing w:after="0" w:before="0"/>
      </w:pPr>
    </w:p>
    <w:p>
      <w:pPr>
        <w:spacing w:after="120"/>
      </w:pPr>
      <w:r>
        <w:rPr>
          <w:rFonts w:ascii="Calibri" w:hAnsi="Calibri"/>
          <w:b w:val="0"/>
          <w:i w:val="0"/>
          <w:sz w:val="22"/>
        </w:rPr>
        <w:t>_This document was generated by ICDEV™ Intelligent Documentation Regeneration (IDR)._</w:t>
      </w:r>
    </w:p>
    <w:p>
      <w:pPr>
        <w:spacing w:after="120"/>
      </w:pPr>
      <w:r>
        <w:rPr>
          <w:rFonts w:ascii="Calibri" w:hAnsi="Calibri"/>
          <w:b w:val="0"/>
          <w:i w:val="0"/>
          <w:sz w:val="22"/>
        </w:rPr>
        <w:t>_Control implementation narratives: /compliance/crosswalk_</w:t>
      </w:r>
    </w:p>
    <w:p>
      <w:pPr>
        <w:spacing w:after="0" w:before="0"/>
      </w:pPr>
    </w:p>
    <w:p>
      <w:pPr>
        <w:spacing w:after="120"/>
      </w:pPr>
      <w:r>
        <w:rPr>
          <w:rFonts w:ascii="Calibri" w:hAnsi="Calibri"/>
          <w:b w:val="0"/>
          <w:i w:val="0"/>
          <w:sz w:val="22"/>
        </w:rPr>
        <w:t>CUI</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444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