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hAnsi="Calibri"/>
          <w:b/>
          <w:color w:val="0A1628"/>
          <w:sz w:val="96"/>
        </w:rPr>
        <w:t>ICDEV(tm)</w:t>
      </w:r>
    </w:p>
    <w:p>
      <w:pPr>
        <w:jc w:val="center"/>
      </w:pPr>
      <w:r>
        <w:rPr>
          <w:rFonts w:ascii="Calibri" w:hAnsi="Calibri"/>
          <w:b/>
          <w:color w:val="C8A951"/>
          <w:sz w:val="48"/>
        </w:rPr>
        <w:t>AI Lab Executive Documentation</w:t>
      </w:r>
    </w:p>
    <w:p>
      <w:pPr>
        <w:spacing w:after="0" w:before="0"/>
      </w:pPr>
    </w:p>
    <w:p>
      <w:pPr>
        <w:jc w:val="center"/>
      </w:pPr>
      <w:r>
        <w:rPr>
          <w:i/>
          <w:color w:val="444444"/>
          <w:sz w:val="26"/>
        </w:rPr>
        <w:t>Cost-Benefit Analysis  |  Build Requirements  |  FORGE Academy Playbook  |  AI GameDay Playbook</w:t>
      </w:r>
    </w:p>
    <w:p>
      <w:pPr>
        <w:spacing w:after="0" w:before="0"/>
      </w:pP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Classification</w:t>
            </w:r>
          </w:p>
        </w:tc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CUI // SP-CTI</w:t>
            </w:r>
          </w:p>
        </w:tc>
      </w:tr>
      <w:tr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Date</w:t>
            </w:r>
          </w:p>
        </w:tc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May 2026</w:t>
            </w:r>
          </w:p>
        </w:tc>
      </w:tr>
      <w:tr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Version</w:t>
            </w:r>
          </w:p>
        </w:tc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1.0</w:t>
            </w:r>
          </w:p>
        </w:tc>
      </w:tr>
      <w:tr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Prepared By</w:t>
            </w:r>
          </w:p>
        </w:tc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ICDEV(tm) AI Lab Initiative</w:t>
            </w:r>
          </w:p>
        </w:tc>
      </w:tr>
      <w:tr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Audience</w:t>
            </w:r>
          </w:p>
        </w:tc>
        <w:tc>
          <w:tcPr>
            <w:tcW w:type="dxa" w:w="4608"/>
            <w:shd w:val="clear" w:color="auto" w:fill="0A1628"/>
          </w:tcPr>
          <w:p>
            <w:r>
              <w:rPr>
                <w:b w:val="0"/>
                <w:color w:val="FFFFFF"/>
                <w:sz w:val="22"/>
              </w:rPr>
              <w:t>Senior Leadership / Executive Decision-Makers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1.  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ICDEV(tm) (Intelligent Certified Development) is an AI-powered meta-builder that generates complete, Authority to Operate (ATO)-ready government software systems from plain English requirements. It compresses the typical 12-18 month ATO timeline to 1-3 months, automates compliance across 42 frameworks through a dual-hub crosswalk engine, and deploys 15 coordinating AI agents that eliminate the expert bottlenecks that stall most government programs. The platform is open source (Apache 2.0), IL4+ ready, and maps to every current federal AI mandate including OMB M-25-21, OMB M-26-04, and the DoD AI Strategy.</w:t>
      </w:r>
    </w:p>
    <w:p>
      <w:pPr>
        <w:pStyle w:val="Heading2"/>
      </w:pPr>
      <w:r>
        <w:rPr>
          <w:b/>
          <w:color w:val="C8A951"/>
          <w:sz w:val="28"/>
        </w:rPr>
        <w:t>Recommendation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Adopt ICDEV(tm). Stand up the AI Lab. Begin FORGE Academy Cohort 1 within 90 days. The platform is built, tested, and compliance-mapped. The only variable is the decision to move.</w:t>
      </w:r>
    </w:p>
    <w:p>
      <w:pPr>
        <w:pStyle w:val="Heading2"/>
      </w:pPr>
      <w:r>
        <w:rPr>
          <w:b/>
          <w:color w:val="C8A951"/>
          <w:sz w:val="28"/>
        </w:rPr>
        <w:t>Headline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Metric</w:t>
            </w:r>
          </w:p>
        </w:tc>
        <w:tc>
          <w:tcPr>
            <w:tcW w:type="dxa" w:w="576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Value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Year-1 Total Investment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color w:val="444444"/>
                <w:sz w:val="20"/>
              </w:rPr>
              <w:t>$570K - $880K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444444"/>
                <w:sz w:val="20"/>
              </w:rPr>
              <w:t>Year-1 Projected Return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444444"/>
                <w:sz w:val="20"/>
              </w:rPr>
              <w:t>$4M - $6M (3-program baseline)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3-Year ROI (5 programs)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color w:val="444444"/>
                <w:sz w:val="20"/>
              </w:rPr>
              <w:t>9x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444444"/>
                <w:sz w:val="20"/>
              </w:rPr>
              <w:t>ATO Timeline Reduction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444444"/>
                <w:sz w:val="20"/>
              </w:rPr>
              <w:t>12-18 months  --&gt;  1-3 months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Compliance Automation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color w:val="444444"/>
                <w:sz w:val="20"/>
              </w:rPr>
              <w:t>42 frameworks, zero duplicate assessments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444444"/>
                <w:sz w:val="20"/>
              </w:rPr>
              <w:t>Developer Capacity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444444"/>
                <w:sz w:val="20"/>
              </w:rPr>
              <w:t>100 developers trained in Year 1 (4 cohorts of 25)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Platform License Cost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color w:val="444444"/>
                <w:sz w:val="20"/>
              </w:rPr>
              <w:t>$0 (Apache 2.0 open source)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color w:val="444444"/>
          <w:sz w:val="22"/>
        </w:rPr>
        <w:t>This document provides the supporting analysis for the AI Lab stand-up decision: a Cost-Benefit Analysis, infrastructure and personnel requirements, and operating playbooks for FORGE Academy and AI GameDay at 100+ developer scale.</w:t>
      </w:r>
    </w:p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2.  Background and Problem Statement</w:t>
      </w:r>
    </w:p>
    <w:p>
      <w:pPr>
        <w:pStyle w:val="Heading2"/>
      </w:pPr>
      <w:r>
        <w:rPr>
          <w:b/>
          <w:color w:val="C8A951"/>
          <w:sz w:val="28"/>
        </w:rPr>
        <w:t>The Status Quo is Failing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Government software programs face three structural failures that repeat across every agency and every program office: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12-18 months to ATO: Programs spend over a year and millions of dollars in compliance activity before delivering a single line of production capability. The cost is not just financial -- it is mission impact deferred.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Compliance discovered late: Security and compliance requirements are identified after development, forcing costly redesigns, POAM entries, and remediation cycles that follow the system through its entire operational life.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Expert bottlenecks: One ISSO, one security architect, one CI/CD engineer. When any single expert is unavailable, entire programs stall. Knowledge lives in people, not systems.</w:t>
      </w:r>
    </w:p>
    <w:p>
      <w:pPr>
        <w:pStyle w:val="Heading2"/>
      </w:pPr>
      <w:r>
        <w:rPr>
          <w:b/>
          <w:color w:val="C8A951"/>
          <w:sz w:val="28"/>
        </w:rPr>
        <w:t>The Cost of the Status Quo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Item</w:t>
            </w:r>
          </w:p>
        </w:tc>
        <w:tc>
          <w:tcPr>
            <w:tcW w:type="dxa" w:w="316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Typical Cost</w:t>
            </w:r>
          </w:p>
        </w:tc>
        <w:tc>
          <w:tcPr>
            <w:tcW w:type="dxa" w:w="288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Frequency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ATO pursuit labor (ISSO + SSP writer)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$300K - $600K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Per program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444444"/>
                <w:sz w:val="20"/>
              </w:rPr>
              <w:t>Redesign due to late compliance discovery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$500K - $2M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Per program (frequent)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Manual framework assessment (per framework)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$50K - $200K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Per framework per cycle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444444"/>
                <w:sz w:val="20"/>
              </w:rPr>
              <w:t>External training for 100 developers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$400K - $500K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Expert turnover / knowledge loss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$200K - $1M+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Per departure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Why ICDEV(tm) and the AI Lab Solves This Structurally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ICDEV(tm) is not a point solution. It addresses all three failures simultaneously: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FORGE framework confines AI reasoning to orchestration; 530+ deterministic Python tools execute reliably -- reducing probabilistic failure from ~59% (0.9^5) to &gt;95%.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Compliance automation is built into every build phase (ANVIL): SSP, POAM, STIG, SBOM, and OSCAL are generated automatically -- not authored manually after the fact.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15 AI agents replace individual expert dependency. Builder, Compliance, Security, Infrastructure, Requirements, and Supply Chain agents coordinate continuously.</w:t>
      </w:r>
    </w:p>
    <w:p>
      <w:pPr>
        <w:spacing w:before="120" w:after="120"/>
        <w:ind w:left="432" w:right="432"/>
      </w:pPr>
      <w:r>
        <w:rPr>
          <w:b/>
          <w:color w:val="C8A951"/>
          <w:sz w:val="22"/>
        </w:rPr>
        <w:t xml:space="preserve">Key Insight:  </w:t>
      </w:r>
      <w:r>
        <w:rPr>
          <w:color w:val="444444"/>
          <w:sz w:val="22"/>
        </w:rPr>
        <w:t>Every program powered by ICDEV(tm) compounds returns across the enterprise -- shared knowledge base, reusable compliance evidence, and trained internal experts.</w:t>
      </w:r>
    </w:p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3.  ICDEV(tm) Platform Overview</w:t>
      </w:r>
    </w:p>
    <w:p>
      <w:pPr>
        <w:pStyle w:val="Heading2"/>
      </w:pPr>
      <w:r>
        <w:rPr>
          <w:b/>
          <w:color w:val="C8A951"/>
          <w:sz w:val="28"/>
        </w:rPr>
        <w:t>3.1  The FORGE Framework (6 Layers)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Layer</w:t>
            </w:r>
          </w:p>
        </w:tc>
        <w:tc>
          <w:tcPr>
            <w:tcW w:type="dxa" w:w="316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Location</w:t>
            </w:r>
          </w:p>
        </w:tc>
        <w:tc>
          <w:tcPr>
            <w:tcW w:type="dxa" w:w="489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Role</w:t>
            </w:r>
          </w:p>
        </w:tc>
      </w:tr>
      <w:tr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Goals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goals/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Process definitions -- what to achieve, which tools, expected outputs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Orchestration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(Claude Code / multi-agent)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AI reasoning: read goal, decide tool order, handle errors</w:t>
            </w:r>
          </w:p>
        </w:tc>
      </w:tr>
      <w:tr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Tools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icdev/tools/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530+ Python scripts, one job each, deterministic execution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Args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args/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YAML/JSON behavior settings -- change behavior without editing code</w:t>
            </w:r>
          </w:p>
        </w:tc>
      </w:tr>
      <w:tr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Context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context/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42 compliance catalogs, tone rules, writing samples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Hard Prompts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hardprompts/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Reusable LLM instruction templates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3.2  The ANVIL Workflow (5 Phases)</w:t>
      </w:r>
    </w:p>
    <w:p>
      <w:pPr>
        <w:spacing w:after="80"/>
      </w:pPr>
      <w:r>
        <w:rPr>
          <w:b/>
          <w:color w:val="C8A951"/>
        </w:rPr>
        <w:t xml:space="preserve">Architect:  </w:t>
      </w:r>
      <w:r>
        <w:rPr>
          <w:color w:val="444444"/>
        </w:rPr>
        <w:t>Design and acceptance criteria. System architecture defined up front.</w:t>
      </w:r>
    </w:p>
    <w:p>
      <w:pPr>
        <w:spacing w:after="80"/>
      </w:pPr>
      <w:r>
        <w:rPr>
          <w:b/>
          <w:color w:val="C8A951"/>
        </w:rPr>
        <w:t xml:space="preserve">Navigate:  </w:t>
      </w:r>
      <w:r>
        <w:rPr>
          <w:color w:val="444444"/>
        </w:rPr>
        <w:t>Map to existing tools and patterns. No new code without cause.</w:t>
      </w:r>
    </w:p>
    <w:p>
      <w:pPr>
        <w:spacing w:after="80"/>
      </w:pPr>
      <w:r>
        <w:rPr>
          <w:b/>
          <w:color w:val="C8A951"/>
        </w:rPr>
        <w:t xml:space="preserve">Verify:  </w:t>
      </w:r>
      <w:r>
        <w:rPr>
          <w:color w:val="444444"/>
        </w:rPr>
        <w:t>Write failing tests first (RED). The spec IS the test.</w:t>
      </w:r>
    </w:p>
    <w:p>
      <w:pPr>
        <w:spacing w:after="80"/>
      </w:pPr>
      <w:r>
        <w:rPr>
          <w:b/>
          <w:color w:val="C8A951"/>
        </w:rPr>
        <w:t xml:space="preserve">Integrate:  </w:t>
      </w:r>
      <w:r>
        <w:rPr>
          <w:color w:val="444444"/>
        </w:rPr>
        <w:t>Generate implementation until tests pass (GREEN).</w:t>
      </w:r>
    </w:p>
    <w:p>
      <w:pPr>
        <w:spacing w:after="80"/>
      </w:pPr>
      <w:r>
        <w:rPr>
          <w:b/>
          <w:color w:val="C8A951"/>
        </w:rPr>
        <w:t xml:space="preserve">Launch:  </w:t>
      </w:r>
      <w:r>
        <w:rPr>
          <w:color w:val="444444"/>
        </w:rPr>
        <w:t>Refactor, security scan, compliance map, merge to main.</w:t>
      </w:r>
    </w:p>
    <w:p>
      <w:pPr>
        <w:pStyle w:val="Heading2"/>
      </w:pPr>
      <w:r>
        <w:rPr>
          <w:b/>
          <w:color w:val="C8A951"/>
          <w:sz w:val="28"/>
        </w:rPr>
        <w:t>3.3  12 Design Canvases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Code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Canvas Name</w:t>
            </w:r>
          </w:p>
        </w:tc>
        <w:tc>
          <w:tcPr>
            <w:tcW w:type="dxa" w:w="201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Route</w:t>
            </w:r>
          </w:p>
        </w:tc>
        <w:tc>
          <w:tcPr>
            <w:tcW w:type="dxa" w:w="489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Key Capability</w:t>
            </w:r>
          </w:p>
        </w:tc>
      </w:tr>
      <w:tr>
        <w:tc>
          <w:tcPr>
            <w:tcW w:type="dxa" w:w="864"/>
            <w:shd w:val="clear" w:color="auto" w:fill="F5F7FA"/>
          </w:tcPr>
          <w:p>
            <w:r>
              <w:rPr>
                <w:color w:val="444444"/>
                <w:sz w:val="20"/>
              </w:rPr>
              <w:t>NDC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Network Design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/network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Cloud topology, FedRAMP/IL/CMMC mapping, COTS cost modeling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444444"/>
                <w:sz w:val="20"/>
              </w:rPr>
              <w:t>SDC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Security Design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/security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STRIDE threat modeling, MITRE ATT&amp;CK, SSP/POAM generator</w:t>
            </w:r>
          </w:p>
        </w:tc>
      </w:tr>
      <w:tr>
        <w:tc>
          <w:tcPr>
            <w:tcW w:type="dxa" w:w="864"/>
            <w:shd w:val="clear" w:color="auto" w:fill="F5F7FA"/>
          </w:tcPr>
          <w:p>
            <w:r>
              <w:rPr>
                <w:color w:val="444444"/>
                <w:sz w:val="20"/>
              </w:rPr>
              <w:t>PDC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Pipeline Design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/devops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Visual CI/CD builder, SLSA assessment, OWASP coverage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444444"/>
                <w:sz w:val="20"/>
              </w:rPr>
              <w:t>BDC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Boundary Design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/boundary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ATO boundary, ISA lifecycle, PPS matrix auto-generation</w:t>
            </w:r>
          </w:p>
        </w:tc>
      </w:tr>
      <w:tr>
        <w:tc>
          <w:tcPr>
            <w:tcW w:type="dxa" w:w="864"/>
            <w:shd w:val="clear" w:color="auto" w:fill="F5F7FA"/>
          </w:tcPr>
          <w:p>
            <w:r>
              <w:rPr>
                <w:color w:val="444444"/>
                <w:sz w:val="20"/>
              </w:rPr>
              <w:t>DDC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Data Design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/data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Data classification zones, PII/PHI/CUI tracking, lineage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444444"/>
                <w:sz w:val="20"/>
              </w:rPr>
              <w:t>ODC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Observability Design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/observability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Detection coverage, Sigma rules, MITRE ATT&amp;CK detection</w:t>
            </w:r>
          </w:p>
        </w:tc>
      </w:tr>
      <w:tr>
        <w:tc>
          <w:tcPr>
            <w:tcW w:type="dxa" w:w="864"/>
            <w:shd w:val="clear" w:color="auto" w:fill="F5F7FA"/>
          </w:tcPr>
          <w:p>
            <w:r>
              <w:rPr>
                <w:color w:val="444444"/>
                <w:sz w:val="20"/>
              </w:rPr>
              <w:t>IDC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Infrastructure Design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/infra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IaC resource design, 6 CSPs, Terraform generation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444444"/>
                <w:sz w:val="20"/>
              </w:rPr>
              <w:t>AADC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Agentic AI Design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/agentic-ai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7 solution packs, 40+ node types, AI risk register</w:t>
            </w:r>
          </w:p>
        </w:tc>
      </w:tr>
      <w:tr>
        <w:tc>
          <w:tcPr>
            <w:tcW w:type="dxa" w:w="864"/>
            <w:shd w:val="clear" w:color="auto" w:fill="F5F7FA"/>
          </w:tcPr>
          <w:p>
            <w:r>
              <w:rPr>
                <w:color w:val="444444"/>
                <w:sz w:val="20"/>
              </w:rPr>
              <w:t>QDC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Quality Design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/qdc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Code quality gates, UQS scoring, NIST SA-11 mapping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444444"/>
                <w:sz w:val="20"/>
              </w:rPr>
              <w:t>MDC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Migration Design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/migration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7R assessment, strangler fig mapping, ATO bridge</w:t>
            </w:r>
          </w:p>
        </w:tc>
      </w:tr>
      <w:tr>
        <w:tc>
          <w:tcPr>
            <w:tcW w:type="dxa" w:w="864"/>
            <w:shd w:val="clear" w:color="auto" w:fill="F5F7FA"/>
          </w:tcPr>
          <w:p>
            <w:r>
              <w:rPr>
                <w:color w:val="444444"/>
                <w:sz w:val="20"/>
              </w:rPr>
              <w:t>AIMC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AI/ML Model Design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/ai-ml</w:t>
            </w:r>
          </w:p>
        </w:tc>
        <w:tc>
          <w:tcPr>
            <w:tcW w:type="dxa" w:w="4896"/>
            <w:shd w:val="clear" w:color="auto" w:fill="F5F7FA"/>
          </w:tcPr>
          <w:p>
            <w:r>
              <w:rPr>
                <w:color w:val="444444"/>
                <w:sz w:val="20"/>
              </w:rPr>
              <w:t>Foundation model catalog, DoD RAI compliance, IL assessment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444444"/>
                <w:sz w:val="20"/>
              </w:rPr>
              <w:t>MSN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Mission Canvas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/mission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444444"/>
                <w:sz w:val="20"/>
              </w:rPr>
              <w:t>Strategic mission planning, operational design, COA support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3.4  Unified Chat and Common Use Cases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/chat interface is a 3-pane, context-aware agent communication system that merges structured requirements intake (RICOAS) with multi-stream parallel conversation. It is NOT a generic chatbot -- every conversation carries project metadata, compliance scope, and AI governance posture.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Three built-in use cases provide expert-persona, pre-loaded requirements out of the box: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Use Case</w:t>
            </w:r>
          </w:p>
        </w:tc>
        <w:tc>
          <w:tcPr>
            <w:tcW w:type="dxa" w:w="201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Pre-Loaded Reqs</w:t>
            </w:r>
          </w:p>
        </w:tc>
        <w:tc>
          <w:tcPr>
            <w:tcW w:type="dxa" w:w="345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Canvas Wiring</w:t>
            </w:r>
          </w:p>
        </w:tc>
        <w:tc>
          <w:tcPr>
            <w:tcW w:type="dxa" w:w="288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Output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General Modernization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12 requirements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Migration, Digital Twin, Supply Chain, Compliance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Phased migration plan with rollback runbooks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Year-End Budget Sprint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14 requirements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CPMP, Digital Twin, Supply Chain, Kanban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CSV/XLSX BOM with lead times, IGCE, contract vehicles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Crowd-Sourced Doc Refresh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10 requirements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Knowledge, RAG, Compliance, Audit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Version-controlled docs, auto-indexed to Knowledge Graph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3.5  Digital Program Twin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Digital Program Twin is a 6-dimension what-if simulation engine that predicts program impact before requirements are committed. It runs 10,000 Monte Carlo iterations to produce P10/P50/P80/P90 confidence bands across architecture, compliance, supply chain, schedule, cost, and risk dimensions.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Three Courses of Action (COAs) are auto-generated: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COA</w:t>
            </w:r>
          </w:p>
        </w:tc>
        <w:tc>
          <w:tcPr>
            <w:tcW w:type="dxa" w:w="158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Timeline</w:t>
            </w:r>
          </w:p>
        </w:tc>
        <w:tc>
          <w:tcPr>
            <w:tcW w:type="dxa" w:w="158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Cost</w:t>
            </w:r>
          </w:p>
        </w:tc>
        <w:tc>
          <w:tcPr>
            <w:tcW w:type="dxa" w:w="115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Risk</w:t>
            </w:r>
          </w:p>
        </w:tc>
        <w:tc>
          <w:tcPr>
            <w:tcW w:type="dxa" w:w="475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Description</w:t>
            </w:r>
          </w:p>
        </w:tc>
      </w:tr>
      <w:tr>
        <w:tc>
          <w:tcPr>
            <w:tcW w:type="dxa" w:w="1872"/>
            <w:shd w:val="clear" w:color="auto" w:fill="F5F7FA"/>
          </w:tcPr>
          <w:p>
            <w:r>
              <w:rPr>
                <w:color w:val="444444"/>
                <w:sz w:val="20"/>
              </w:rPr>
              <w:t>Speed</w:t>
            </w:r>
          </w:p>
        </w:tc>
        <w:tc>
          <w:tcPr>
            <w:tcW w:type="dxa" w:w="1584"/>
            <w:shd w:val="clear" w:color="auto" w:fill="F5F7FA"/>
          </w:tcPr>
          <w:p>
            <w:r>
              <w:rPr>
                <w:color w:val="444444"/>
                <w:sz w:val="20"/>
              </w:rPr>
              <w:t>1-2 PIs</w:t>
            </w:r>
          </w:p>
        </w:tc>
        <w:tc>
          <w:tcPr>
            <w:tcW w:type="dxa" w:w="1584"/>
            <w:shd w:val="clear" w:color="auto" w:fill="F5F7FA"/>
          </w:tcPr>
          <w:p>
            <w:r>
              <w:rPr>
                <w:color w:val="444444"/>
                <w:sz w:val="20"/>
              </w:rPr>
              <w:t>Lowest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4752"/>
            <w:shd w:val="clear" w:color="auto" w:fill="F5F7FA"/>
          </w:tcPr>
          <w:p>
            <w:r>
              <w:rPr>
                <w:color w:val="444444"/>
                <w:sz w:val="20"/>
              </w:rPr>
              <w:t>P1 requirements only. Fast delivery. Technical debt.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color w:val="444444"/>
                <w:sz w:val="20"/>
              </w:rPr>
              <w:t>Balanced (*)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444444"/>
                <w:sz w:val="20"/>
              </w:rPr>
              <w:t>2-3 PIs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MOD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444444"/>
                <w:sz w:val="20"/>
              </w:rPr>
              <w:t>P1+P2. Recommended. Best scope-risk tradeoff.</w:t>
            </w:r>
          </w:p>
        </w:tc>
      </w:tr>
      <w:tr>
        <w:tc>
          <w:tcPr>
            <w:tcW w:type="dxa" w:w="1872"/>
            <w:shd w:val="clear" w:color="auto" w:fill="F5F7FA"/>
          </w:tcPr>
          <w:p>
            <w:r>
              <w:rPr>
                <w:color w:val="444444"/>
                <w:sz w:val="20"/>
              </w:rPr>
              <w:t>Comprehensive</w:t>
            </w:r>
          </w:p>
        </w:tc>
        <w:tc>
          <w:tcPr>
            <w:tcW w:type="dxa" w:w="1584"/>
            <w:shd w:val="clear" w:color="auto" w:fill="F5F7FA"/>
          </w:tcPr>
          <w:p>
            <w:r>
              <w:rPr>
                <w:color w:val="444444"/>
                <w:sz w:val="20"/>
              </w:rPr>
              <w:t>3-5 PIs</w:t>
            </w:r>
          </w:p>
        </w:tc>
        <w:tc>
          <w:tcPr>
            <w:tcW w:type="dxa" w:w="1584"/>
            <w:shd w:val="clear" w:color="auto" w:fill="F5F7FA"/>
          </w:tcPr>
          <w:p>
            <w:r>
              <w:rPr>
                <w:color w:val="444444"/>
                <w:sz w:val="20"/>
              </w:rPr>
              <w:t>Highest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LOW</w:t>
            </w:r>
          </w:p>
        </w:tc>
        <w:tc>
          <w:tcPr>
            <w:tcW w:type="dxa" w:w="4752"/>
            <w:shd w:val="clear" w:color="auto" w:fill="F5F7FA"/>
          </w:tcPr>
          <w:p>
            <w:r>
              <w:rPr>
                <w:color w:val="444444"/>
                <w:sz w:val="20"/>
              </w:rPr>
              <w:t>Full scope. Complete coverage. Longest timeline.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color w:val="C8A951"/>
          <w:sz w:val="22"/>
        </w:rPr>
        <w:t xml:space="preserve">Differentiator:  </w:t>
      </w:r>
      <w:r>
        <w:rPr>
          <w:color w:val="444444"/>
          <w:sz w:val="22"/>
        </w:rPr>
        <w:t>No commercial vendor offers program-level Digital Twin semantics with NIST/FedRAMP verdicts. ICDEV does.</w:t>
      </w:r>
    </w:p>
    <w:p>
      <w:pPr>
        <w:pStyle w:val="Heading2"/>
      </w:pPr>
      <w:r>
        <w:rPr>
          <w:b/>
          <w:color w:val="C8A951"/>
          <w:sz w:val="28"/>
        </w:rPr>
        <w:t>3.6  42-Framework Compliance Crosswalk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ICDEV(tm) uses a dual-hub crosswalk model. NIST 800-53 Rev 5 serves as the US hub; ISO/IEC 27001:2022 serves as the international hub. Implementing a control once automatically satisfies 30+ downstream frameworks.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Framework Category</w:t>
            </w:r>
          </w:p>
        </w:tc>
        <w:tc>
          <w:tcPr>
            <w:tcW w:type="dxa" w:w="720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Frameworks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Federal</w:t>
            </w:r>
          </w:p>
        </w:tc>
        <w:tc>
          <w:tcPr>
            <w:tcW w:type="dxa" w:w="7200"/>
            <w:shd w:val="clear" w:color="auto" w:fill="F5F7FA"/>
          </w:tcPr>
          <w:p>
            <w:r>
              <w:rPr>
                <w:color w:val="444444"/>
                <w:sz w:val="20"/>
              </w:rPr>
              <w:t>NIST 800-53, NIST 800-171, FedRAMP Mod/High/20x, CMMC L2/L3, FIPS 199/200, CNSSI 1253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DoD-Specific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444444"/>
                <w:sz w:val="20"/>
              </w:rPr>
              <w:t>DoDI 5000.87 DES, DoD CSSP, MOSA (10 U.S.C. 4401), MITRE ATLAS v5.4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AI/ML Security</w:t>
            </w:r>
          </w:p>
        </w:tc>
        <w:tc>
          <w:tcPr>
            <w:tcW w:type="dxa" w:w="7200"/>
            <w:shd w:val="clear" w:color="auto" w:fill="F5F7FA"/>
          </w:tcPr>
          <w:p>
            <w:r>
              <w:rPr>
                <w:color w:val="444444"/>
                <w:sz w:val="20"/>
              </w:rPr>
              <w:t>NIST AI RMF 1.0, NIST AI 600-1, OWASP LLM Top 10, OWASP Agentic AI, OMB M-25-21, M-26-04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Healthcare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444444"/>
                <w:sz w:val="20"/>
              </w:rPr>
              <w:t>HIPAA Security Rule, HITRUST CSF v11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Financial</w:t>
            </w:r>
          </w:p>
        </w:tc>
        <w:tc>
          <w:tcPr>
            <w:tcW w:type="dxa" w:w="7200"/>
            <w:shd w:val="clear" w:color="auto" w:fill="F5F7FA"/>
          </w:tcPr>
          <w:p>
            <w:r>
              <w:rPr>
                <w:color w:val="444444"/>
                <w:sz w:val="20"/>
              </w:rPr>
              <w:t>PCI DSS v4.0, SOC 2 Type II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International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444444"/>
                <w:sz w:val="20"/>
              </w:rPr>
              <w:t>ISO/IEC 27001:2022, ISO/IEC 42001:2023, EU AI Act Annex III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Architecture</w:t>
            </w:r>
          </w:p>
        </w:tc>
        <w:tc>
          <w:tcPr>
            <w:tcW w:type="dxa" w:w="7200"/>
            <w:shd w:val="clear" w:color="auto" w:fill="F5F7FA"/>
          </w:tcPr>
          <w:p>
            <w:r>
              <w:rPr>
                <w:color w:val="444444"/>
                <w:sz w:val="20"/>
              </w:rPr>
              <w:t>NIST SP 800-207 Zero Trust, CISA Secure by Design, IEEE 1012 IV&amp;V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3.7  15-Agent Autonomous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Tier</w:t>
            </w:r>
          </w:p>
        </w:tc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Agent</w:t>
            </w:r>
          </w:p>
        </w:tc>
        <w:tc>
          <w:tcPr>
            <w:tcW w:type="dxa" w:w="115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Port</w:t>
            </w:r>
          </w:p>
        </w:tc>
        <w:tc>
          <w:tcPr>
            <w:tcW w:type="dxa" w:w="547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Specialty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Core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Orchestrator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8443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Task routing, DAG execution, dispatcher mode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Core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Architect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8444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ANVIL A/T phases, system design, M-ANVIL for models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Builder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8445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TDD code generation -- 6 languages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Compliance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8446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ATO artifacts: SSP, POAM, STIG, SBOM, OSCAL, eMASS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Security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8447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SAST, dependency audit, secret detection, MITRE ATLAS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Infrastructure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8448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Terraform, Ansible, K8s, CI/CD, 6 CSPs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MBSE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8451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SysML, DOORS NG, digital thread, DES compliance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Modernization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8452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7R assessment, migration planning, ATO bridge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Requirements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8453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Conversational intake, gap detection, SAFe decomposition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Supply Chain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8454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SBOM, CVE triage, SCRM, Section 889 compliance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Simulation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8455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Digital Twin, Monte Carlo, COA generation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DevSecOps + ZTA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8457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Pipeline security, NIST 800-207 ZTA, policy-as-code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Domain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Gateway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8458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Remote commands, 8-gate security chain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Support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Knowledge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8449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Self-healing patterns, ML recommendations, failure diagnosis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Support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Monitor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8450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Logs, metrics, alerts, health checks, SLA tracking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4.  Cost-Benefit Analysis (CBA)</w:t>
      </w:r>
    </w:p>
    <w:p>
      <w:pPr>
        <w:pStyle w:val="Heading2"/>
      </w:pPr>
      <w:r>
        <w:rPr>
          <w:b/>
          <w:color w:val="C8A951"/>
          <w:sz w:val="28"/>
        </w:rPr>
        <w:t>4.1  Benefits (Quantified)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Benefit</w:t>
            </w:r>
          </w:p>
        </w:tc>
        <w:tc>
          <w:tcPr>
            <w:tcW w:type="dxa" w:w="288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Without ICDEV(tm)</w:t>
            </w:r>
          </w:p>
        </w:tc>
        <w:tc>
          <w:tcPr>
            <w:tcW w:type="dxa" w:w="288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With ICDEV(tm)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Annual Savings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ATO timeline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12-18 months x $500K/month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1-3 months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$2M - $4M per program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Compliance labor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2 ISSOs x 6 months per framework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Automated 42-framework crosswalk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$400K - $800K/yr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Developer velocity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1 feature per 2 weeks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5x faster via 15 agents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$1M+ productivity gain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Developer training (100 devs)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External courses ~$5K/developer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Academy ~$800/developer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$420K savings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Legacy modernization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Greenfield rebuild required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7Rs + ATO bridge pipeline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$2M - $5M avoided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TOTAL YEAR-1 BENEFIT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$4M - $6M+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4.2  Costs (Year 1 Estimate)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Cost Item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Year 1 Estimate</w:t>
            </w:r>
          </w:p>
        </w:tc>
        <w:tc>
          <w:tcPr>
            <w:tcW w:type="dxa" w:w="345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Notes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Infrastructure (K8s + cloud LLM API)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$150K - $300K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AWS Bedrock or Azure OpenAI Gov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444444"/>
                <w:sz w:val="20"/>
              </w:rPr>
              <w:t>ICDEV(tm) platform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Apache 2.0 open source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Personnel (4 FTEs, blended rate)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$300K - $400K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Director, Engineer, Training Lead, ISSO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444444"/>
                <w:sz w:val="20"/>
              </w:rPr>
              <w:t>FORGE Academy (4 cohorts)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$80K - $120K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25 developers per cohort, 8 weeks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color w:val="444444"/>
                <w:sz w:val="20"/>
              </w:rPr>
              <w:t>AI GameDay (4 events)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$40K - $60K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$10K per event, 100 participants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444444"/>
                <w:sz w:val="20"/>
              </w:rPr>
              <w:t>TOTAL YEAR-1 COST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$570K - $880K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4.3  Return on Investment (3-Year Projection)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ROI is calculated based on ATO acceleration savings per program, compliance automation labor avoidance, and developer productivity gains. The base assumption is $2.5M benefit per program per year (conservative: ATO savings + compliance + velocity).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Programs/Year</w:t>
            </w:r>
          </w:p>
        </w:tc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Year 1 Net</w:t>
            </w:r>
          </w:p>
        </w:tc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Year 2 Net</w:t>
            </w:r>
          </w:p>
        </w:tc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Year 3 Net</w:t>
            </w:r>
          </w:p>
        </w:tc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3-Year ROI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3 programs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+$3.0M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+$8.0M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+$14.0M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5x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5 programs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+$6.0M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+$16.0M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+$28.0M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9x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10 programs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+$16.0M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+$36.0M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+$60.0M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18x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color w:val="C8A951"/>
          <w:sz w:val="22"/>
        </w:rPr>
        <w:t xml:space="preserve">Note:  </w:t>
      </w:r>
      <w:r>
        <w:rPr>
          <w:color w:val="444444"/>
          <w:sz w:val="22"/>
        </w:rPr>
        <w:t>Year 1 net is lower due to platform stand-up costs. Year 2+ reflects steady-state operations with full cohort pipeline producing certified developers.</w:t>
      </w:r>
    </w:p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5.  AI Lab Build-Out Requirements</w:t>
      </w:r>
    </w:p>
    <w:p>
      <w:pPr>
        <w:pStyle w:val="Heading2"/>
      </w:pPr>
      <w:r>
        <w:rPr>
          <w:b/>
          <w:color w:val="C8A951"/>
          <w:sz w:val="28"/>
        </w:rPr>
        <w:t>5.1 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Component</w:t>
            </w:r>
          </w:p>
        </w:tc>
        <w:tc>
          <w:tcPr>
            <w:tcW w:type="dxa" w:w="374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Specification</w:t>
            </w:r>
          </w:p>
        </w:tc>
        <w:tc>
          <w:tcPr>
            <w:tcW w:type="dxa" w:w="345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Purpose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Kubernetes Cluster</w:t>
            </w:r>
          </w:p>
        </w:tc>
        <w:tc>
          <w:tcPr>
            <w:tcW w:type="dxa" w:w="3744"/>
            <w:shd w:val="clear" w:color="auto" w:fill="F5F7FA"/>
          </w:tcPr>
          <w:p>
            <w:r>
              <w:rPr>
                <w:color w:val="444444"/>
                <w:sz w:val="20"/>
              </w:rPr>
              <w:t>2-node, 64 vCPU, 256 GB RAM, 10 TB NVMe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Host 15 ICDEV agents + dashboard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LLM API Access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444444"/>
                <w:sz w:val="20"/>
              </w:rPr>
              <w:t>AWS Bedrock (Claude) or Azure OpenAI Gov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IL4+ approved inference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Network</w:t>
            </w:r>
          </w:p>
        </w:tc>
        <w:tc>
          <w:tcPr>
            <w:tcW w:type="dxa" w:w="3744"/>
            <w:shd w:val="clear" w:color="auto" w:fill="F5F7FA"/>
          </w:tcPr>
          <w:p>
            <w:r>
              <w:rPr>
                <w:color w:val="444444"/>
                <w:sz w:val="20"/>
              </w:rPr>
              <w:t>Isolated lab VLAN, CAC auth, VPN breakout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Security isolation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Object Storage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444444"/>
                <w:sz w:val="20"/>
              </w:rPr>
              <w:t>S3 GovCloud or equivalent, 10 TB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Artifacts, SBOM, audit logs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CI/CD Platform</w:t>
            </w:r>
          </w:p>
        </w:tc>
        <w:tc>
          <w:tcPr>
            <w:tcW w:type="dxa" w:w="3744"/>
            <w:shd w:val="clear" w:color="auto" w:fill="F5F7FA"/>
          </w:tcPr>
          <w:p>
            <w:r>
              <w:rPr>
                <w:color w:val="444444"/>
                <w:sz w:val="20"/>
              </w:rPr>
              <w:t>GitLab EE or GitHub Enterprise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Pipeline automation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Artifact Management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444444"/>
                <w:sz w:val="20"/>
              </w:rPr>
              <w:t>JFrog Artifactory or Nexus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Dependency management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SIEM</w:t>
            </w:r>
          </w:p>
        </w:tc>
        <w:tc>
          <w:tcPr>
            <w:tcW w:type="dxa" w:w="3744"/>
            <w:shd w:val="clear" w:color="auto" w:fill="F5F7FA"/>
          </w:tcPr>
          <w:p>
            <w:r>
              <w:rPr>
                <w:color w:val="444444"/>
                <w:sz w:val="20"/>
              </w:rPr>
              <w:t>Splunk or OpenSearch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Audit trail forwarding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Developer Workstations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444444"/>
                <w:sz w:val="20"/>
              </w:rPr>
              <w:t>16 vCPU, 32 GB RAM (or shared cloud VDI)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Local sandbox environments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5.2  Personnel (4 FTEs)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Role</w:t>
            </w:r>
          </w:p>
        </w:tc>
        <w:tc>
          <w:tcPr>
            <w:tcW w:type="dxa" w:w="604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Key Responsibilities</w:t>
            </w:r>
          </w:p>
        </w:tc>
        <w:tc>
          <w:tcPr>
            <w:tcW w:type="dxa" w:w="144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Clearance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AI Lab Director</w:t>
            </w:r>
          </w:p>
        </w:tc>
        <w:tc>
          <w:tcPr>
            <w:tcW w:type="dxa" w:w="6048"/>
            <w:shd w:val="clear" w:color="auto" w:fill="F5F7FA"/>
          </w:tcPr>
          <w:p>
            <w:r>
              <w:rPr>
                <w:color w:val="444444"/>
                <w:sz w:val="20"/>
              </w:rPr>
              <w:t>Strategy, stakeholder liaison, program integration, executive reporting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TS/SCI preferred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Platform / MLOps Engineer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444444"/>
                <w:sz w:val="20"/>
              </w:rPr>
              <w:t>ICDEV deployment, 15-agent health, Bedrock integration, GitLab CI/CD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Secret minimum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Training Lead</w:t>
            </w:r>
          </w:p>
        </w:tc>
        <w:tc>
          <w:tcPr>
            <w:tcW w:type="dxa" w:w="6048"/>
            <w:shd w:val="clear" w:color="auto" w:fill="F5F7FA"/>
          </w:tcPr>
          <w:p>
            <w:r>
              <w:rPr>
                <w:color w:val="444444"/>
                <w:sz w:val="20"/>
              </w:rPr>
              <w:t>FORGE Academy curriculum, cohort scheduling, GameDay facilitation, cert tracking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Secret minimum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ISSO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444444"/>
                <w:sz w:val="20"/>
              </w:rPr>
              <w:t>Lab ATO, STIG compliance, audit trail review, eMASS entries, POA&amp;M management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Secret required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5.3  30 / 60 / 90-Day Stand-Up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Milestone</w:t>
            </w:r>
          </w:p>
        </w:tc>
        <w:tc>
          <w:tcPr>
            <w:tcW w:type="dxa" w:w="576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Actions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Owner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Day 1-30: Infrastructure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color w:val="444444"/>
                <w:sz w:val="20"/>
              </w:rPr>
              <w:t>K8s cluster procured and provisioned. AWS Bedrock access granted. ICDEV deployed and health-checked. GitLab EE configured. ISSO assigned.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Lab Director + Platform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Day 31-60: First Program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444444"/>
                <w:sz w:val="20"/>
              </w:rPr>
              <w:t>First program team onboarded. 2 canvases (NDC + SDC) active. Use Cases seeded. RICOAS intake session completed. Digital Twin run. ATO package auto-generated.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Platform Engineer + ISSO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Day 61-90: Training + GameDay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color w:val="444444"/>
                <w:sz w:val="20"/>
              </w:rPr>
              <w:t>FORGE Academy Cohort 1 begins (25 developers, 8-week track). AI GameDay #1 executed (4 teams, Operation CIPHER FORGE). AAR published. Lessons learned fed back into Academy curriculum.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Training Lead + Lab Director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6.  FORGE Academy Operating Playbook (100+ Developers)</w:t>
      </w:r>
    </w:p>
    <w:p>
      <w:pPr>
        <w:pStyle w:val="Heading2"/>
      </w:pPr>
      <w:r>
        <w:rPr>
          <w:b/>
          <w:color w:val="C8A951"/>
          <w:sz w:val="28"/>
        </w:rPr>
        <w:t>6.1  Program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FORGE Academy is a gamified, role-based AI training platform that teaches government and defense teams how to build, deploy, and govern AI systems. Every mission teaches a pattern that directly applies to the ICDEV(tm) platform. The curriculum is auto-updated by the Genesis daemon -- when new patterns are proven in production, draft missions are generated automatically for human review and activation.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Attribute</w:t>
            </w:r>
          </w:p>
        </w:tc>
        <w:tc>
          <w:tcPr>
            <w:tcW w:type="dxa" w:w="691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Value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Role Tracks</w:t>
            </w:r>
          </w:p>
        </w:tc>
        <w:tc>
          <w:tcPr>
            <w:tcW w:type="dxa" w:w="6912"/>
            <w:shd w:val="clear" w:color="auto" w:fill="F5F7FA"/>
          </w:tcPr>
          <w:p>
            <w:r>
              <w:rPr>
                <w:color w:val="444444"/>
                <w:sz w:val="20"/>
              </w:rPr>
              <w:t>12 (DevOps, DataOps, SecOps, SWE/Architect, NetOps, SRE, ISSO, ISSM, CISO, PM, Analyst, Leadership)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Total Missions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444444"/>
                <w:sz w:val="20"/>
              </w:rPr>
              <w:t>75 missions, 165 steps across 3 tiers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Delivery Model</w:t>
            </w:r>
          </w:p>
        </w:tc>
        <w:tc>
          <w:tcPr>
            <w:tcW w:type="dxa" w:w="6912"/>
            <w:shd w:val="clear" w:color="auto" w:fill="F5F7FA"/>
          </w:tcPr>
          <w:p>
            <w:r>
              <w:rPr>
                <w:color w:val="444444"/>
                <w:sz w:val="20"/>
              </w:rPr>
              <w:t>Hybrid: 2 hrs instructor-led + 8 hrs self-paced per week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Lab Mode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444444"/>
                <w:sz w:val="20"/>
              </w:rPr>
              <w:t>Coding Lab (hands-on terminal) + Guided Lab (no-code for non-technical roles)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Cohort Size</w:t>
            </w:r>
          </w:p>
        </w:tc>
        <w:tc>
          <w:tcPr>
            <w:tcW w:type="dxa" w:w="6912"/>
            <w:shd w:val="clear" w:color="auto" w:fill="F5F7FA"/>
          </w:tcPr>
          <w:p>
            <w:r>
              <w:rPr>
                <w:color w:val="444444"/>
                <w:sz w:val="20"/>
              </w:rPr>
              <w:t>25 developers per cohort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Cohort Duration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444444"/>
                <w:sz w:val="20"/>
              </w:rPr>
              <w:t>8 weeks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Facilitator Ratio</w:t>
            </w:r>
          </w:p>
        </w:tc>
        <w:tc>
          <w:tcPr>
            <w:tcW w:type="dxa" w:w="6912"/>
            <w:shd w:val="clear" w:color="auto" w:fill="F5F7FA"/>
          </w:tcPr>
          <w:p>
            <w:r>
              <w:rPr>
                <w:color w:val="444444"/>
                <w:sz w:val="20"/>
              </w:rPr>
              <w:t>1 Sensei (L5 certified) per 25 learners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6.2  Rank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Rank</w:t>
            </w:r>
          </w:p>
        </w:tc>
        <w:tc>
          <w:tcPr>
            <w:tcW w:type="dxa" w:w="172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XP Required</w:t>
            </w:r>
          </w:p>
        </w:tc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Competency Level</w:t>
            </w:r>
          </w:p>
        </w:tc>
        <w:tc>
          <w:tcPr>
            <w:tcW w:type="dxa" w:w="460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Real-World Capability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Recruit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0 XP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L1 Aware</w:t>
            </w:r>
          </w:p>
        </w:tc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Understands LLMs; uses AI tools safely in daily workflow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Operative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500 XP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L2 Foundation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44444"/>
                <w:sz w:val="20"/>
              </w:rPr>
              <w:t>Builds basic AI features (LLM API, simple RAG, single-tool agents)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Specialist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2,000 XP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L3 Practitioner</w:t>
            </w:r>
          </w:p>
        </w:tc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Designs multi-agent systems; monitors production AI; owns features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Architect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5,000 XP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L4 Expert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44444"/>
                <w:sz w:val="20"/>
              </w:rPr>
              <w:t>Builds AI platforms; leads initiatives; mentors; authors ICDEV tools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Sensei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10,000+ XP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L5 Sensei</w:t>
            </w:r>
          </w:p>
        </w:tc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AI strategy at org level; teaches and certifies others; CAIO-level governance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6.3  Certification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Certification</w:t>
            </w:r>
          </w:p>
        </w:tc>
        <w:tc>
          <w:tcPr>
            <w:tcW w:type="dxa" w:w="172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Duration</w:t>
            </w:r>
          </w:p>
        </w:tc>
        <w:tc>
          <w:tcPr>
            <w:tcW w:type="dxa" w:w="547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Requirements</w:t>
            </w:r>
          </w:p>
        </w:tc>
        <w:tc>
          <w:tcPr>
            <w:tcW w:type="dxa" w:w="115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Expiry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Foundation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8 weeks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Tier 1 + role Tier 2 + 75% assessment score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2 years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Practitioner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+4 weeks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Foundation + AADC canvas score &gt;= 80 + 1 GameDay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2 years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Expert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Capstone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Practitioner + Tier 3 + GameDay top-50% finish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3 years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6.4  100-Developer Cohort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Cohort</w:t>
            </w:r>
          </w:p>
        </w:tc>
        <w:tc>
          <w:tcPr>
            <w:tcW w:type="dxa" w:w="201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Developers</w:t>
            </w:r>
          </w:p>
        </w:tc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Weeks</w:t>
            </w:r>
          </w:p>
        </w:tc>
        <w:tc>
          <w:tcPr>
            <w:tcW w:type="dxa" w:w="230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Start Window</w:t>
            </w:r>
          </w:p>
        </w:tc>
        <w:tc>
          <w:tcPr>
            <w:tcW w:type="dxa" w:w="360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Certification Eligible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Cohort 1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25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Week 1-8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Month 3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color w:val="444444"/>
                <w:sz w:val="20"/>
              </w:rPr>
              <w:t>Foundation -- Month 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Cohort 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25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Week 5-12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Month 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444444"/>
                <w:sz w:val="20"/>
              </w:rPr>
              <w:t>Foundation -- Month 6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Cohort 3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25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Week 9-16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Month 5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color w:val="444444"/>
                <w:sz w:val="20"/>
              </w:rPr>
              <w:t>Foundation -- Month 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Cohort 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25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Week 13-20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44444"/>
                <w:sz w:val="20"/>
              </w:rPr>
              <w:t>Month 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444444"/>
                <w:sz w:val="20"/>
              </w:rPr>
              <w:t>Foundation -- Month 8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Total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100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color w:val="444444"/>
                <w:sz w:val="20"/>
              </w:rPr>
              <w:t>All 100 Foundation-certified by Month 8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6.5  DoD and Federal Alignment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All 5 competency levels are cross-walked to DoD AI Workforce Framework KSAs (KS0001, KS0010, etc.)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OMB M-25-21 readiness: L1=Aware, L2=Capable, L3=Compliant, L4=Audit-Ready, L5=Leadership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Organizational readiness score (0-100) ties cohort completion to AI-first migration phases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Threshold guide: &lt;40 = Phase 0 (foundation), 40-65 = Phase 1 (quick wins), 65-80 = Phase 2 (augmentation), &gt;80 = Phase 3+ (AI-first)</w:t>
      </w:r>
    </w:p>
    <w:p>
      <w:pPr>
        <w:pStyle w:val="Heading2"/>
      </w:pPr>
      <w:r>
        <w:rPr>
          <w:b/>
          <w:color w:val="C8A951"/>
          <w:sz w:val="28"/>
        </w:rPr>
        <w:t>6.6  Cohort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Item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Per Cohort (25 devs)</w:t>
            </w:r>
          </w:p>
        </w:tc>
        <w:tc>
          <w:tcPr>
            <w:tcW w:type="dxa" w:w="316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4 Cohorts (100 devs)</w:t>
            </w:r>
          </w:p>
        </w:tc>
      </w:tr>
      <w:tr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Lab infrastructure (shared cloud sandbox)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$5,000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$20,000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444444"/>
                <w:sz w:val="20"/>
              </w:rPr>
              <w:t>Facilitator time (10 hrs/wk x 8 wks)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$8,000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$32,000</w:t>
            </w:r>
          </w:p>
        </w:tc>
      </w:tr>
      <w:tr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Learning management / tooling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$3,000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$12,000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444444"/>
                <w:sz w:val="20"/>
              </w:rPr>
              <w:t>Certification assessment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$4,000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$16,000</w:t>
            </w:r>
          </w:p>
        </w:tc>
      </w:tr>
      <w:tr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TOTAL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$20,000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$80,000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7.  AI GameDay Operating Playbook (100+ Developers)</w:t>
      </w:r>
    </w:p>
    <w:p>
      <w:pPr>
        <w:pStyle w:val="Heading2"/>
      </w:pPr>
      <w:r>
        <w:rPr>
          <w:b/>
          <w:color w:val="C8A951"/>
          <w:sz w:val="28"/>
        </w:rPr>
        <w:t>7.1  Program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AI GameDay transforms passive tabletop exercises (TTX) into live, AI-tooled, competitive wargames. Teams compete through scripted injects using ICDEV(tm) tools, and every response is scored by an LLM judge against a published rubric. Server-side receipt verification ensures scoring integrity. A live leaderboard tracks team performance in real time, and an auto-generated After-Action Report (AAR) provides formal lessons learned documentation.</w:t>
      </w:r>
    </w:p>
    <w:p>
      <w:pPr>
        <w:pStyle w:val="Heading2"/>
      </w:pPr>
      <w:r>
        <w:rPr>
          <w:b/>
          <w:color w:val="C8A951"/>
          <w:sz w:val="28"/>
        </w:rPr>
        <w:t>7.2  Team Structure (4 Teams x 25 Participants)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Team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Focus</w:t>
            </w:r>
          </w:p>
        </w:tc>
        <w:tc>
          <w:tcPr>
            <w:tcW w:type="dxa" w:w="345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Roles</w:t>
            </w:r>
          </w:p>
        </w:tc>
        <w:tc>
          <w:tcPr>
            <w:tcW w:type="dxa" w:w="316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Scoring Weight</w:t>
            </w:r>
          </w:p>
        </w:tc>
      </w:tr>
      <w:tr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RED   (Threat)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Attack design, threat emulation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Scout, Threat Analyst, Exploit Engineer, Red Orchestrator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Adversarial Effectiveness: 40%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BLUE  (Defense)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Defense posture, incident response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SOC Analyst, Security Architect, IR Responder, Blue Orchestrator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Shared scoring -- IR response quality</w:t>
            </w:r>
          </w:p>
        </w:tc>
      </w:tr>
      <w:tr>
        <w:tc>
          <w:tcPr>
            <w:tcW w:type="dxa" w:w="2016"/>
            <w:shd w:val="clear" w:color="auto" w:fill="F5F7FA"/>
          </w:tcPr>
          <w:p>
            <w:r>
              <w:rPr>
                <w:color w:val="444444"/>
                <w:sz w:val="20"/>
              </w:rPr>
              <w:t>GOLD  (Innovation)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Novel AI/ML modules, training pair generation</w:t>
            </w:r>
          </w:p>
        </w:tc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Researcher, Builder, Evaluator, Gold Orchestrator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Innovation Score: 25%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444444"/>
                <w:sz w:val="20"/>
              </w:rPr>
              <w:t>GREEN (Compliance)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Governance, ethics, regulatory verdicts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NIST Auditor, Risk Assessor, Policy Advisor, Green Orchestrator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Compliance Score: 20%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7.3  Operation CIPHER FORGE -- 5 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Inject</w:t>
            </w:r>
          </w:p>
        </w:tc>
        <w:tc>
          <w:tcPr>
            <w:tcW w:type="dxa" w:w="172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Duration</w:t>
            </w:r>
          </w:p>
        </w:tc>
        <w:tc>
          <w:tcPr>
            <w:tcW w:type="dxa" w:w="403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Challenge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Scoring Dimension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Signal Cluster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15 min</w:t>
            </w:r>
          </w:p>
        </w:tc>
        <w:tc>
          <w:tcPr>
            <w:tcW w:type="dxa" w:w="4032"/>
            <w:shd w:val="clear" w:color="auto" w:fill="F5F7FA"/>
          </w:tcPr>
          <w:p>
            <w:r>
              <w:rPr>
                <w:color w:val="444444"/>
                <w:sz w:val="20"/>
              </w:rPr>
              <w:t>SIGINT threat assessment in simulated environment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Adversarial Effectiveness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COA Posture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40 min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44444"/>
                <w:sz w:val="20"/>
              </w:rPr>
              <w:t>Military strategy: recommend force posture vs. threat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Adversarial + Compliance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Ransomware Cascade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Sequential</w:t>
            </w:r>
          </w:p>
        </w:tc>
        <w:tc>
          <w:tcPr>
            <w:tcW w:type="dxa" w:w="4032"/>
            <w:shd w:val="clear" w:color="auto" w:fill="F5F7FA"/>
          </w:tcPr>
          <w:p>
            <w:r>
              <w:rPr>
                <w:color w:val="444444"/>
                <w:sz w:val="20"/>
              </w:rPr>
              <w:t>IR: contain, eradicate, recover from ransomware event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All dimensions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Fine-Tune Sprint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Sequential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44444"/>
                <w:sz w:val="20"/>
              </w:rPr>
              <w:t>ML: generate training pairs and evaluate quality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Innovation (25%) + Training pairs (15%)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War Council Brief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Final</w:t>
            </w:r>
          </w:p>
        </w:tc>
        <w:tc>
          <w:tcPr>
            <w:tcW w:type="dxa" w:w="4032"/>
            <w:shd w:val="clear" w:color="auto" w:fill="F5F7FA"/>
          </w:tcPr>
          <w:p>
            <w:r>
              <w:rPr>
                <w:color w:val="444444"/>
                <w:sz w:val="20"/>
              </w:rPr>
              <w:t>Executive synthesis: strategic brief from all learnings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All dimensions -- final standings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7.4  Scoring and Judging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Dimension</w:t>
            </w:r>
          </w:p>
        </w:tc>
        <w:tc>
          <w:tcPr>
            <w:tcW w:type="dxa" w:w="144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Weight</w:t>
            </w:r>
          </w:p>
        </w:tc>
        <w:tc>
          <w:tcPr>
            <w:tcW w:type="dxa" w:w="547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Method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Adversarial Effectiveness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40%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LLM judge scores Red/Blue tactical decisions vs. rubric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Innovation Score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25%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Evaluator scores Gold team ML modules and training pair quality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Compliance Score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20%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Green team NIST auditor verdicts on all team artifacts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444444"/>
                <w:sz w:val="20"/>
              </w:rPr>
              <w:t>Training Pairs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15%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Auto-scored: pairs &gt; 0.60 quality go to ft_datasets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>
              <w:rPr>
                <w:color w:val="444444"/>
                <w:sz w:val="20"/>
              </w:rPr>
              <w:t>Time Bonus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Added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Full bonus for &lt; 8 min turnaround; zero for &gt; 15 min</w:t>
            </w:r>
          </w:p>
        </w:tc>
      </w:tr>
    </w:tbl>
    <w:p/>
    <w:p>
      <w:pPr>
        <w:pStyle w:val="Heading2"/>
      </w:pPr>
      <w:r>
        <w:rPr>
          <w:b/>
          <w:color w:val="C8A951"/>
          <w:sz w:val="28"/>
        </w:rPr>
        <w:t>7.5  Event Logistics (100 Participants)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Format: 4 teams x 25 participants, live timed session (4 hours)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Facilitation: 1 Lead Facilitator + 4 Team Leads (1 per team)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Infrastructure: ICDEV(tm) GameDay server with LLM API access per team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Pre-event: 30-minute team registration + role assignment (skill-to-role AI matching)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Post-event: AAR auto-generated within 15 minutes. Kanban debrief card created.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Certification: GameDay completion required for FORGE Academy Practitioner certification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Frequency: Quarterly tournaments + ad hoc challenge events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Audit trail: NIST AC-2, AU-2, SI-10 compliant -- append-only ttx_api_log</w:t>
      </w:r>
    </w:p>
    <w:p>
      <w:pPr>
        <w:pStyle w:val="Heading2"/>
      </w:pPr>
      <w:r>
        <w:rPr>
          <w:b/>
          <w:color w:val="C8A951"/>
          <w:sz w:val="28"/>
        </w:rPr>
        <w:t>7.6  GameDay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Item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Per Event (100 participants)</w:t>
            </w:r>
          </w:p>
        </w:tc>
        <w:tc>
          <w:tcPr>
            <w:tcW w:type="dxa" w:w="316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Annual (4 events)</w:t>
            </w:r>
          </w:p>
        </w:tc>
      </w:tr>
      <w:tr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ICDEV(tm) GameDay server (burst compute)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$2,000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$8,000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444444"/>
                <w:sz w:val="20"/>
              </w:rPr>
              <w:t>LLM API credits (4 teams x 4 hours)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$1,500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$6,000</w:t>
            </w:r>
          </w:p>
        </w:tc>
      </w:tr>
      <w:tr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Facilitation (Lead + 4 Team Leads)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$4,000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$16,000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444444"/>
                <w:sz w:val="20"/>
              </w:rPr>
              <w:t>Venue / logistics (if in-person)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$2,500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44444"/>
                <w:sz w:val="20"/>
              </w:rPr>
              <w:t>$10,000</w:t>
            </w:r>
          </w:p>
        </w:tc>
      </w:tr>
      <w:tr>
        <w:tc>
          <w:tcPr>
            <w:tcW w:type="dxa" w:w="4608"/>
            <w:shd w:val="clear" w:color="auto" w:fill="F5F7FA"/>
          </w:tcPr>
          <w:p>
            <w:r>
              <w:rPr>
                <w:color w:val="444444"/>
                <w:sz w:val="20"/>
              </w:rPr>
              <w:t>TOTAL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$10,000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color w:val="444444"/>
                <w:sz w:val="20"/>
              </w:rPr>
              <w:t>$40,000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8.  Risk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Risk</w:t>
            </w:r>
          </w:p>
        </w:tc>
        <w:tc>
          <w:tcPr>
            <w:tcW w:type="dxa" w:w="144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Likelihood</w:t>
            </w:r>
          </w:p>
        </w:tc>
        <w:tc>
          <w:tcPr>
            <w:tcW w:type="dxa" w:w="115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Impact</w:t>
            </w:r>
          </w:p>
        </w:tc>
        <w:tc>
          <w:tcPr>
            <w:tcW w:type="dxa" w:w="403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Mitigation</w:t>
            </w:r>
          </w:p>
        </w:tc>
      </w:tr>
      <w:tr>
        <w:tc>
          <w:tcPr>
            <w:tcW w:type="dxa" w:w="3744"/>
            <w:shd w:val="clear" w:color="auto" w:fill="F5F7FA"/>
          </w:tcPr>
          <w:p>
            <w:r>
              <w:rPr>
                <w:color w:val="444444"/>
                <w:sz w:val="20"/>
              </w:rPr>
              <w:t>LLM API outage during GameDay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Low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4032"/>
            <w:shd w:val="clear" w:color="auto" w:fill="F5F7FA"/>
          </w:tcPr>
          <w:p>
            <w:r>
              <w:rPr>
                <w:color w:val="444444"/>
                <w:sz w:val="20"/>
              </w:rPr>
              <w:t>Local Ollama fallback built into ICDEV (air-gap mode) -- no internet required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color w:val="444444"/>
                <w:sz w:val="20"/>
              </w:rPr>
              <w:t>Skill gap in first cohort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44444"/>
                <w:sz w:val="20"/>
              </w:rPr>
              <w:t>Adaptive learning paths + guided lab mode for non-technical roles (no-code path)</w:t>
            </w:r>
          </w:p>
        </w:tc>
      </w:tr>
      <w:tr>
        <w:tc>
          <w:tcPr>
            <w:tcW w:type="dxa" w:w="3744"/>
            <w:shd w:val="clear" w:color="auto" w:fill="F5F7FA"/>
          </w:tcPr>
          <w:p>
            <w:r>
              <w:rPr>
                <w:color w:val="444444"/>
                <w:sz w:val="20"/>
              </w:rPr>
              <w:t>Infrastructure procurement delay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4032"/>
            <w:shd w:val="clear" w:color="auto" w:fill="F5F7FA"/>
          </w:tcPr>
          <w:p>
            <w:r>
              <w:rPr>
                <w:color w:val="444444"/>
                <w:sz w:val="20"/>
              </w:rPr>
              <w:t>Start on AWS Bedrock cloud while on-prem K8s is procured (parallel tracks)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color w:val="444444"/>
                <w:sz w:val="20"/>
              </w:rPr>
              <w:t>ATO for the lab itself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44444"/>
                <w:sz w:val="20"/>
              </w:rPr>
              <w:t>ICDEV auto-generates its own SSP, POAM, SBOM on first build -- ~1 week to package</w:t>
            </w:r>
          </w:p>
        </w:tc>
      </w:tr>
      <w:tr>
        <w:tc>
          <w:tcPr>
            <w:tcW w:type="dxa" w:w="3744"/>
            <w:shd w:val="clear" w:color="auto" w:fill="F5F7FA"/>
          </w:tcPr>
          <w:p>
            <w:r>
              <w:rPr>
                <w:color w:val="444444"/>
                <w:sz w:val="20"/>
              </w:rPr>
              <w:t>LLM model deprecation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Low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5F7FA"/>
          </w:tcPr>
          <w:p>
            <w:r>
              <w:rPr>
                <w:color w:val="444444"/>
                <w:sz w:val="20"/>
              </w:rPr>
              <w:t>Vendor-agnostic routing: swap model in .env, no code changes required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color w:val="444444"/>
                <w:sz w:val="20"/>
              </w:rPr>
              <w:t>Key person dependency (Training Lead)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44444"/>
                <w:sz w:val="20"/>
              </w:rPr>
              <w:t>Academy Sensei certifications create internal expert bench by Month 8</w:t>
            </w:r>
          </w:p>
        </w:tc>
      </w:tr>
      <w:tr>
        <w:tc>
          <w:tcPr>
            <w:tcW w:type="dxa" w:w="3744"/>
            <w:shd w:val="clear" w:color="auto" w:fill="F5F7FA"/>
          </w:tcPr>
          <w:p>
            <w:r>
              <w:rPr>
                <w:color w:val="444444"/>
                <w:sz w:val="20"/>
              </w:rPr>
              <w:t>Scope creep in first program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5F7FA"/>
          </w:tcPr>
          <w:p>
            <w:r>
              <w:rPr>
                <w:color w:val="444444"/>
                <w:sz w:val="20"/>
              </w:rPr>
              <w:t>Digital Twin COA gates scope: Speed COA enforces P1-only boundary up front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color w:val="444444"/>
                <w:sz w:val="20"/>
              </w:rPr>
              <w:t>Budget overrun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44444"/>
                <w:sz w:val="20"/>
              </w:rPr>
              <w:t>Apache 2.0 base: $0 license cost; infrastructure is the primary variable; Bedrock on-demand pricing avoids reserved capacity commitment year 1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9.  Recommendation</w:t>
      </w:r>
    </w:p>
    <w:p>
      <w:pPr>
        <w:spacing w:after="120"/>
      </w:pPr>
      <w:r>
        <w:rPr>
          <w:rFonts w:ascii="Calibri" w:hAnsi="Calibri"/>
          <w:b/>
          <w:i w:val="0"/>
          <w:sz w:val="28"/>
        </w:rPr>
        <w:t>Adopt ICDEV(tm). Stand up the AI Lab. Begin FORGE Academy Cohort 1 within 90 days.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platform is already built, tested, and compliance-mapped to 42 frameworks. The only variable is the decision to move. Three specific actions are required: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Authorize infrastructure procurement: 2-node K8s cluster + AWS Bedrock access. Timeline: 30 days. Budget: $150K-300K.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Designate 4 FTEs: AI Lab Director, Platform Engineer, Training Lead, ISSO. Timeline: 30 days. Budget: $300K-400K/year.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Approve Academy and GameDay budget: $80K-120K for 4 cohorts (100 developers) and $40K-60K for 4 quarterly GameDay events.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sz w:val="24"/>
        </w:rPr>
        <w:t>Year-1 total investment: $570K - $880K.</w:t>
        <w:br/>
        <w:t>Year-1 projected return: $4M - $6M (3-program baseline).</w:t>
        <w:br/>
        <w:t>Every additional program adds $2M-4M in returns. The ROI compounds.</w:t>
      </w:r>
    </w:p>
    <w:p>
      <w:pPr>
        <w:spacing w:after="0" w:before="0"/>
      </w:pPr>
    </w:p>
    <w:p>
      <w:pPr>
        <w:jc w:val="center"/>
      </w:pPr>
      <w:r>
        <w:rPr>
          <w:b/>
          <w:color w:val="0A1628"/>
          <w:sz w:val="36"/>
        </w:rPr>
        <w:t>One platform.  One decision.  Infinite programs.</w:t>
      </w:r>
    </w:p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Appendix A: ICDEV(tm) Compliance Framework Index (42 Frameworks)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Federal: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NIST SP 800-53 Rev 5 (all 18 control families)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NIST SP 800-171 Rev 2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FedRAMP Moderate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FedRAMP High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FedRAMP 20x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CMMC Level 2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CMMC Level 3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FIPS 199/200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CNSSI 1253 (IL6 SECRET overlay)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DoD: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DoDI 5000.87 DES (Digital Engineering Strategy)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DoD CSSP (DI 8530.01)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DoD MOSA (10 U.S.C. 4401)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MITRE ATLAS v5.4.0 (AI adversarial)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AI/ML/Gov: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NIST AI RMF 1.0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NIST AI 600-1 (GenAI profile)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OWASP LLM Top 10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OWASP Agentic AI Security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OMB M-25-21 (High-Impact AI transparency)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OMB M-26-04 (Unbiased AI)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GAO-21-519SP (AI Accountability)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ISO/IEC 42001:2023 (AI Management Systems)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EU AI Act Annex III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Healthcare: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HIPAA Security Rule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HITRUST CSF v11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HL7/FHIR compliance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Financial: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PCI DSS v4.0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SOC 2 Type II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Law Enforce.: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CJIS Security Policy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International: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ISO/IEC 27001:2022 (US-International bridge)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Architecture: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NIST SP 800-207 Zero Trust Architecture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CISA Secure by Design (14 domains)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IEEE 1012 IV&amp;V (Verification and Validation)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Governance: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IV&amp;V (DoD-specific)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Section 889 (supply chain)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FAR/DFARS (procurement compliance)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NDAA compliance</w:t>
      </w:r>
    </w:p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Appendix B: Digital Program Twin -- COA 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Dimension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Speed COA</w:t>
            </w:r>
          </w:p>
        </w:tc>
        <w:tc>
          <w:tcPr>
            <w:tcW w:type="dxa" w:w="288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Balanced COA (*)</w:t>
            </w:r>
          </w:p>
        </w:tc>
        <w:tc>
          <w:tcPr>
            <w:tcW w:type="dxa" w:w="259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Comprehensive COA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Timeline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1-2 PIs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2-3 PIs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3-5 PIs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Cost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Lowest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Highest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Risk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MODERATE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LOW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Scope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P1 only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P1 + P2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P1 + P2 + P3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ATO Boundary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Best (lowest)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Average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May trigger re-ATO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Technical Debt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Moderate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Low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Recommended?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Fast feedback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YES (default)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Full coverage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Architecture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Minimal viable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Balanced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Complete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Supply Chain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Fewest vendors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color w:val="444444"/>
                <w:sz w:val="20"/>
              </w:rPr>
              <w:t>Moderate vendors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color w:val="444444"/>
                <w:sz w:val="20"/>
              </w:rPr>
              <w:t>All vendors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Compliance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P1 controls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44444"/>
                <w:sz w:val="20"/>
              </w:rPr>
              <w:t>P1+P2 controls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44444"/>
                <w:sz w:val="20"/>
              </w:rPr>
              <w:t>All controls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Appendix C: ICDEV Chat -- Common Use Cases Reference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Built-in use cases (seeded in args/use_cases.yaml):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General Modernization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Badge: AI Boost  |  Pre-Loaded Requirements: 12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Canvas Wiring: Migration Canvas, Digital Twin, Supply Chain, Compliance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Output: Phased migration plan with 7Rs classification and rollback runbooks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Year-End Budget Sprint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Badge: RICOAS  |  Pre-Loaded Requirements: 14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Canvas Wiring: CPMP, Digital Twin, Supply Chain, Kanban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Output: CSV/XLSX BOM with lead times, vendor quotes, IGCE, contract vehicles</w:t>
      </w:r>
    </w:p>
    <w:p>
      <w:pPr>
        <w:spacing w:after="120"/>
      </w:pPr>
      <w:r>
        <w:rPr>
          <w:rFonts w:ascii="Calibri" w:hAnsi="Calibri"/>
          <w:b/>
          <w:i w:val="0"/>
          <w:color w:val="C8A951"/>
          <w:sz w:val="22"/>
        </w:rPr>
        <w:t>Crowd-Sourced Doc Refresh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Badge: RAG + KG  |  Pre-Loaded Requirements: 10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Canvas Wiring: Knowledge Graph, RAG, Compliance, Audit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Output: Version-controlled docs, auto-indexed to Knowledge Graph within 24 hours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Adding new use cases: Edit args/use_cases.yaml only. No Python required.</w:t>
      </w:r>
    </w:p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Appendix D: Sample FORGE Academy Mission -- M01 LLM Fundamentals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Mission: M01 -- What is an LLM? (Tier 1, all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Step</w:t>
            </w:r>
          </w:p>
        </w:tc>
        <w:tc>
          <w:tcPr>
            <w:tcW w:type="dxa" w:w="5472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Activity</w:t>
            </w:r>
          </w:p>
        </w:tc>
        <w:tc>
          <w:tcPr>
            <w:tcW w:type="dxa" w:w="144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Mode</w:t>
            </w:r>
          </w:p>
        </w:tc>
        <w:tc>
          <w:tcPr>
            <w:tcW w:type="dxa" w:w="172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XP Awarded</w:t>
            </w:r>
          </w:p>
        </w:tc>
      </w:tr>
      <w:tr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Step 1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Watch: 5-minute video on transformer architecture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Guided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10 XP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Step 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Read: ICDEV LLM provider abstraction overview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Guided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10 XP</w:t>
            </w:r>
          </w:p>
        </w:tc>
      </w:tr>
      <w:tr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Step 3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Guided Lab: Send first prompt to Claude via ICDEV router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Guided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20 XP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44444"/>
                <w:sz w:val="20"/>
              </w:rPr>
              <w:t>Step 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44444"/>
                <w:sz w:val="20"/>
              </w:rPr>
              <w:t>Challenge: Identify which ICDEV tool uses which LLM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44444"/>
                <w:sz w:val="20"/>
              </w:rPr>
              <w:t>Guided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44444"/>
                <w:sz w:val="20"/>
              </w:rPr>
              <w:t>30 XP</w:t>
            </w:r>
          </w:p>
        </w:tc>
      </w:tr>
      <w:tr>
        <w:tc>
          <w:tcPr>
            <w:tcW w:type="dxa" w:w="1152"/>
            <w:shd w:val="clear" w:color="auto" w:fill="F5F7FA"/>
          </w:tcPr>
          <w:p>
            <w:r>
              <w:rPr>
                <w:color w:val="444444"/>
                <w:sz w:val="20"/>
              </w:rPr>
              <w:t>Step 5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color w:val="444444"/>
                <w:sz w:val="20"/>
              </w:rPr>
              <w:t>Assessment: 5-question quiz, 80% pass rate required</w:t>
            </w:r>
          </w:p>
        </w:tc>
        <w:tc>
          <w:tcPr>
            <w:tcW w:type="dxa" w:w="1440"/>
            <w:shd w:val="clear" w:color="auto" w:fill="F5F7FA"/>
          </w:tcPr>
          <w:p>
            <w:r>
              <w:rPr>
                <w:color w:val="444444"/>
                <w:sz w:val="20"/>
              </w:rPr>
              <w:t>Guided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color w:val="444444"/>
                <w:sz w:val="20"/>
              </w:rPr>
              <w:t>30 XP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sz w:val="22"/>
        </w:rPr>
        <w:t>Completion unlocks: Operative rank track. DoD KSA: KS0001 (AI/ML Fundamentals).</w:t>
      </w:r>
    </w:p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Appendix E: Sample AI GameDay After-Action Report (AAR Template)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AUTO-GENERATED by ICDEV GameDay Engine post-session. Sections: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Executive Summary: Session ID, scenario, date, duration, overall winner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Team Performance: Points breakdown per team (receipt_pts, judge_pts, time_bonus_pts, total_pts)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Inject Breakdown: Per-inject scoring, fastest team, best response excerpts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Lessons Learned: Top 3 defensive gaps identified, top 3 innovative approaches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Certification Actions: List of players who completed GameDay requirement for Practitioner cert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Fine-Tune Dataset: Summary of Gold team training pairs approved for model improvement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Recommended Follow-Up: Suggested missions in FORGE Academy based on gaps surfaced</w:t>
      </w:r>
    </w:p>
    <w:p>
      <w:pPr>
        <w:pStyle w:val="ListBullet"/>
        <w:spacing w:after="80"/>
        <w:ind w:left="360"/>
      </w:pPr>
      <w:r>
        <w:rPr>
          <w:rFonts w:ascii="Calibri" w:hAnsi="Calibri"/>
          <w:sz w:val="22"/>
        </w:rPr>
        <w:t>NIST Audit Evidence: Append-only ttx_api_log hash summary for AC-2, AU-2, SI-10 evidence</w:t>
      </w:r>
    </w:p>
    <w:p>
      <w:r>
        <w:br w:type="page"/>
      </w:r>
    </w:p>
    <w:p>
      <w:pPr>
        <w:pStyle w:val="Heading1"/>
        <w:pBdr>
          <w:bottom w:val="single" w:sz="6" w:space="4" w:color="C8A951"/>
        </w:pBdr>
      </w:pPr>
      <w:r>
        <w:rPr>
          <w:b/>
          <w:color w:val="0A1628"/>
          <w:sz w:val="36"/>
        </w:rPr>
        <w:t>Appendix F: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Term</w:t>
            </w:r>
          </w:p>
        </w:tc>
        <w:tc>
          <w:tcPr>
            <w:tcW w:type="dxa" w:w="8208"/>
            <w:shd w:val="clear" w:color="auto" w:fill="0A1628"/>
          </w:tcPr>
          <w:p>
            <w:pPr>
              <w:jc w:val="left"/>
            </w:pPr>
            <w:r>
              <w:rPr>
                <w:b/>
                <w:color w:val="C8A951"/>
                <w:sz w:val="22"/>
              </w:rPr>
              <w:t>Definition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ANVIL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5-phase TDD build workflow: Architect, Navigate, Verify, Integrate, Launch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ATO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Authority to Operate -- federal approval to run a system in production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COA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Course of Action -- one of three implementation strategies (Speed/Balanced/Comprehensive)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CMMC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Cybersecurity Maturity Model Certification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CUI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Controlled Unclassified Information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Digital Twin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6-dimension what-if simulation engine for program planning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FORGE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6-layer framework: Goals, Orchestration, Tools, Args, Context, Hard Prompts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IQE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ICDEV Query Engine -- SQL-injection-safe natural language query interface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ISSO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Information System Security Officer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NICE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National Initiative for Cybersecurity Education framework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POAM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Plan of Action and Milestones -- compliance remediation tracker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RAG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Retrieval-Augmented Generation -- knowledge-grounded LLM responses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RICOAS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Requirements Intake, COA and Approval System (Phases 1-4)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SBOM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Software Bill of Materials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SCRM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Supply Chain Risk Management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SSP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System Security Plan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STIG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Security Technical Implementation Guide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444444"/>
                <w:sz w:val="20"/>
              </w:rPr>
              <w:t>TTX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444444"/>
                <w:sz w:val="20"/>
              </w:rPr>
              <w:t>Tabletop Exercise -- structured team response simulation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color w:val="444444"/>
                <w:sz w:val="20"/>
              </w:rPr>
              <w:t>ZTA</w:t>
            </w:r>
          </w:p>
        </w:tc>
        <w:tc>
          <w:tcPr>
            <w:tcW w:type="dxa" w:w="8208"/>
            <w:shd w:val="clear" w:color="auto" w:fill="F5F7FA"/>
          </w:tcPr>
          <w:p>
            <w:r>
              <w:rPr>
                <w:color w:val="444444"/>
                <w:sz w:val="20"/>
              </w:rPr>
              <w:t>Zero Trust Architecture -- NIST SP 800-207 framework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8A95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