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32"/>
        </w:rPr>
        <w:t>Iconic University</w:t>
      </w:r>
    </w:p>
    <w:p>
      <w:pPr>
        <w:spacing w:after="240"/>
        <w:jc w:val="center"/>
      </w:pPr>
      <w:r>
        <w:rPr>
          <w:b w:val="0"/>
          <w:sz w:val="24"/>
        </w:rPr>
        <w:t>Sokoto Nigeria</w:t>
      </w:r>
    </w:p>
    <w:p>
      <w:pPr>
        <w:spacing w:after="240"/>
        <w:jc w:val="center"/>
      </w:pPr>
      <w:r>
        <w:rPr>
          <w:b/>
          <w:sz w:val="36"/>
        </w:rPr>
        <w:t>Smart Government Service Delivery Platform</w:t>
      </w:r>
    </w:p>
    <w:p>
      <w:pPr>
        <w:spacing w:after="240"/>
        <w:jc w:val="center"/>
      </w:pPr>
      <w:r>
        <w:rPr>
          <w:b w:val="0"/>
          <w:sz w:val="24"/>
        </w:rPr>
        <w:t>CivicFlow</w:t>
      </w:r>
    </w:p>
    <w:p>
      <w:pPr>
        <w:pStyle w:val="Title"/>
        <w:spacing w:after="240"/>
        <w:jc w:val="center"/>
      </w:pPr>
      <w:r>
        <w:rPr>
          <w:b/>
          <w:color w:val="000000"/>
          <w:sz w:val="40"/>
        </w:rPr>
        <w:t>Architecture Design Document</w:t>
      </w:r>
    </w:p>
    <w:p>
      <w:pPr>
        <w:spacing w:after="240"/>
        <w:jc w:val="center"/>
      </w:pPr>
      <w:r>
        <w:rPr>
          <w:b w:val="0"/>
          <w:sz w:val="22"/>
        </w:rPr>
        <w:t>Architecture decisions deployment and quality design</w:t>
      </w:r>
    </w:p>
    <w:p>
      <w:pPr>
        <w:spacing w:after="240"/>
        <w:jc w:val="center"/>
      </w:pPr>
      <w:r>
        <w:rPr>
          <w:b/>
          <w:sz w:val="24"/>
        </w:rPr>
        <w:t>Group 1</w:t>
      </w:r>
    </w:p>
    <w:p>
      <w:pPr>
        <w:spacing w:after="240"/>
        <w:jc w:val="center"/>
      </w:pPr>
      <w:r>
        <w:rPr>
          <w:b w:val="0"/>
          <w:sz w:val="22"/>
        </w:rPr>
        <w:t>MIT 820 Software Development Project I</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6120"/>
        <w:gridCol w:w="2880"/>
      </w:tblGrid>
      <w:tr>
        <w:trPr>
          <w:cantSplit/>
          <w:tblHeader/>
        </w:trPr>
        <w:tc>
          <w:tcPr>
            <w:tcW w:type="dxa" w:w="6120"/>
            <w:vAlign w:val="center"/>
            <w:shd w:fill="D9E2F3"/>
          </w:tcPr>
          <w:p>
            <w:pPr>
              <w:keepNext/>
              <w:spacing w:before="0" w:after="40" w:line="259" w:lineRule="auto"/>
              <w:jc w:val="left"/>
            </w:pPr>
            <w:r>
              <w:rPr>
                <w:rFonts w:ascii="Times New Roman" w:hAnsi="Times New Roman"/>
                <w:b/>
                <w:color w:val="000000"/>
                <w:sz w:val="20"/>
              </w:rPr>
              <w:t>Group member</w:t>
            </w:r>
          </w:p>
        </w:tc>
        <w:tc>
          <w:tcPr>
            <w:tcW w:type="dxa" w:w="2880"/>
            <w:vAlign w:val="center"/>
            <w:shd w:fill="D9E2F3"/>
          </w:tcPr>
          <w:p>
            <w:pPr>
              <w:keepNext/>
              <w:spacing w:before="0" w:after="40" w:line="259" w:lineRule="auto"/>
              <w:jc w:val="left"/>
            </w:pPr>
            <w:r>
              <w:rPr>
                <w:rFonts w:ascii="Times New Roman" w:hAnsi="Times New Roman"/>
                <w:b/>
                <w:color w:val="000000"/>
                <w:sz w:val="20"/>
              </w:rPr>
              <w:t>Registration number</w:t>
            </w:r>
          </w:p>
        </w:tc>
      </w:tr>
      <w:tr>
        <w:trPr>
          <w:cantSplit/>
        </w:trPr>
        <w:tc>
          <w:tcPr>
            <w:tcW w:type="dxa" w:w="6120"/>
            <w:vAlign w:val="center"/>
            <w:shd w:fill="FFFFFF"/>
          </w:tcPr>
          <w:p>
            <w:pPr>
              <w:keepNext w:val="0"/>
              <w:spacing w:before="0" w:after="40" w:line="259" w:lineRule="auto"/>
              <w:jc w:val="left"/>
            </w:pPr>
            <w:r>
              <w:rPr>
                <w:rFonts w:ascii="Times New Roman" w:hAnsi="Times New Roman"/>
                <w:b w:val="0"/>
                <w:color w:val="000000"/>
                <w:sz w:val="20"/>
              </w:rPr>
              <w:t>Aminu Idris</w:t>
            </w:r>
          </w:p>
        </w:tc>
        <w:tc>
          <w:tcPr>
            <w:tcW w:type="dxa" w:w="2880"/>
            <w:vAlign w:val="center"/>
            <w:shd w:fill="FFFFFF"/>
          </w:tcPr>
          <w:p>
            <w:pPr>
              <w:keepNext w:val="0"/>
              <w:spacing w:before="0" w:after="40" w:line="259" w:lineRule="auto"/>
              <w:jc w:val="left"/>
            </w:pPr>
            <w:r>
              <w:rPr>
                <w:rFonts w:ascii="Times New Roman" w:hAnsi="Times New Roman"/>
                <w:b w:val="0"/>
                <w:color w:val="000000"/>
                <w:sz w:val="20"/>
              </w:rPr>
              <w:t>2630802400002</w:t>
            </w:r>
          </w:p>
        </w:tc>
      </w:tr>
      <w:tr>
        <w:trPr>
          <w:cantSplit/>
        </w:trPr>
        <w:tc>
          <w:tcPr>
            <w:tcW w:type="dxa" w:w="6120"/>
            <w:vAlign w:val="center"/>
            <w:shd w:fill="F5F6F8"/>
          </w:tcPr>
          <w:p>
            <w:pPr>
              <w:keepNext w:val="0"/>
              <w:spacing w:before="0" w:after="40" w:line="259" w:lineRule="auto"/>
              <w:jc w:val="left"/>
            </w:pPr>
            <w:r>
              <w:rPr>
                <w:rFonts w:ascii="Times New Roman" w:hAnsi="Times New Roman"/>
                <w:b w:val="0"/>
                <w:color w:val="000000"/>
                <w:sz w:val="20"/>
              </w:rPr>
              <w:t>Saidu Mustapha Suleman</w:t>
            </w:r>
          </w:p>
        </w:tc>
        <w:tc>
          <w:tcPr>
            <w:tcW w:type="dxa" w:w="2880"/>
            <w:vAlign w:val="center"/>
            <w:shd w:fill="F5F6F8"/>
          </w:tcPr>
          <w:p>
            <w:pPr>
              <w:keepNext w:val="0"/>
              <w:spacing w:before="0" w:after="40" w:line="259" w:lineRule="auto"/>
              <w:jc w:val="left"/>
            </w:pPr>
            <w:r>
              <w:rPr>
                <w:rFonts w:ascii="Times New Roman" w:hAnsi="Times New Roman"/>
                <w:b w:val="0"/>
                <w:color w:val="000000"/>
                <w:sz w:val="20"/>
              </w:rPr>
              <w:t>2630802400001</w:t>
            </w:r>
          </w:p>
        </w:tc>
      </w:tr>
      <w:tr>
        <w:trPr>
          <w:cantSplit/>
        </w:trPr>
        <w:tc>
          <w:tcPr>
            <w:tcW w:type="dxa" w:w="6120"/>
            <w:vAlign w:val="center"/>
            <w:shd w:fill="FFFFFF"/>
          </w:tcPr>
          <w:p>
            <w:pPr>
              <w:keepNext w:val="0"/>
              <w:spacing w:before="0" w:after="40" w:line="259" w:lineRule="auto"/>
              <w:jc w:val="left"/>
            </w:pPr>
            <w:r>
              <w:rPr>
                <w:rFonts w:ascii="Times New Roman" w:hAnsi="Times New Roman"/>
                <w:b w:val="0"/>
                <w:color w:val="000000"/>
                <w:sz w:val="20"/>
              </w:rPr>
              <w:t>Bolaji Watson</w:t>
            </w:r>
          </w:p>
        </w:tc>
        <w:tc>
          <w:tcPr>
            <w:tcW w:type="dxa" w:w="2880"/>
            <w:vAlign w:val="center"/>
            <w:shd w:fill="FFFFFF"/>
          </w:tcPr>
          <w:p>
            <w:pPr>
              <w:keepNext w:val="0"/>
              <w:spacing w:before="0" w:after="40" w:line="259" w:lineRule="auto"/>
              <w:jc w:val="left"/>
            </w:pPr>
            <w:r>
              <w:rPr>
                <w:rFonts w:ascii="Times New Roman" w:hAnsi="Times New Roman"/>
                <w:b w:val="0"/>
                <w:color w:val="000000"/>
                <w:sz w:val="20"/>
              </w:rPr>
              <w:t>2630802400009</w:t>
            </w:r>
          </w:p>
        </w:tc>
      </w:tr>
      <w:tr>
        <w:trPr>
          <w:cantSplit/>
        </w:trPr>
        <w:tc>
          <w:tcPr>
            <w:tcW w:type="dxa" w:w="6120"/>
            <w:vAlign w:val="center"/>
            <w:shd w:fill="F5F6F8"/>
          </w:tcPr>
          <w:p>
            <w:pPr>
              <w:keepNext w:val="0"/>
              <w:spacing w:before="0" w:after="40" w:line="259" w:lineRule="auto"/>
              <w:jc w:val="left"/>
            </w:pPr>
            <w:r>
              <w:rPr>
                <w:rFonts w:ascii="Times New Roman" w:hAnsi="Times New Roman"/>
                <w:b w:val="0"/>
                <w:color w:val="000000"/>
                <w:sz w:val="20"/>
              </w:rPr>
              <w:t>John Ojuekaiye Mayowa</w:t>
            </w:r>
          </w:p>
        </w:tc>
        <w:tc>
          <w:tcPr>
            <w:tcW w:type="dxa" w:w="2880"/>
            <w:vAlign w:val="center"/>
            <w:shd w:fill="F5F6F8"/>
          </w:tcPr>
          <w:p>
            <w:pPr>
              <w:keepNext w:val="0"/>
              <w:spacing w:before="0" w:after="40" w:line="259" w:lineRule="auto"/>
              <w:jc w:val="left"/>
            </w:pPr>
            <w:r>
              <w:rPr>
                <w:rFonts w:ascii="Times New Roman" w:hAnsi="Times New Roman"/>
                <w:b w:val="0"/>
                <w:color w:val="000000"/>
                <w:sz w:val="20"/>
              </w:rPr>
              <w:t>2630802400008</w:t>
            </w:r>
          </w:p>
        </w:tc>
      </w:tr>
      <w:tr>
        <w:trPr>
          <w:cantSplit/>
        </w:trPr>
        <w:tc>
          <w:tcPr>
            <w:tcW w:type="dxa" w:w="6120"/>
            <w:vAlign w:val="center"/>
            <w:shd w:fill="FFFFFF"/>
          </w:tcPr>
          <w:p>
            <w:pPr>
              <w:keepNext w:val="0"/>
              <w:spacing w:before="0" w:after="40" w:line="259" w:lineRule="auto"/>
              <w:jc w:val="left"/>
            </w:pPr>
            <w:r>
              <w:rPr>
                <w:rFonts w:ascii="Times New Roman" w:hAnsi="Times New Roman"/>
                <w:b w:val="0"/>
                <w:color w:val="000000"/>
                <w:sz w:val="20"/>
              </w:rPr>
              <w:t>Egbue Odira Celestine</w:t>
            </w:r>
          </w:p>
        </w:tc>
        <w:tc>
          <w:tcPr>
            <w:tcW w:type="dxa" w:w="2880"/>
            <w:vAlign w:val="center"/>
            <w:shd w:fill="FFFFFF"/>
          </w:tcPr>
          <w:p>
            <w:pPr>
              <w:keepNext w:val="0"/>
              <w:spacing w:before="0" w:after="40" w:line="259" w:lineRule="auto"/>
              <w:jc w:val="left"/>
            </w:pPr>
            <w:r>
              <w:rPr>
                <w:rFonts w:ascii="Times New Roman" w:hAnsi="Times New Roman"/>
                <w:b w:val="0"/>
                <w:color w:val="000000"/>
                <w:sz w:val="20"/>
              </w:rPr>
              <w:t>2630803400003</w:t>
            </w:r>
          </w:p>
        </w:tc>
      </w:tr>
    </w:tbl>
    <w:p>
      <w:pPr>
        <w:jc w:val="center"/>
      </w:pPr>
      <w:r>
        <w:t>Document version 1.1   Application baseline 1.0.4   23 October 2026</w:t>
      </w:r>
    </w:p>
    <w:p>
      <w:pPr>
        <w:jc w:val="center"/>
      </w:pPr>
      <w:r>
        <w:t>Final presentation 28 November 2026</w:t>
        <w:br/>
        <w:t>Portal submission 29 November 2026 before 11:59 p.m. WAT</w:t>
      </w:r>
    </w:p>
    <w:p>
      <w:pPr>
        <w:sectPr>
          <w:pgSz w:w="12240" w:h="15840"/>
          <w:pgMar w:top="1224" w:right="1440" w:bottom="1224" w:left="1800" w:header="720" w:footer="504" w:gutter="0"/>
          <w:cols w:space="720"/>
          <w:docGrid w:linePitch="360"/>
        </w:sectPr>
      </w:pPr>
    </w:p>
    <w:p>
      <w:pPr>
        <w:pStyle w:val="Heading1"/>
        <w:keepNext/>
      </w:pPr>
      <w:r>
        <w:rPr>
          <w:color w:val="000000"/>
        </w:rPr>
        <w:t>1 Purpose and architectural drivers</w:t>
      </w:r>
    </w:p>
    <w:p>
      <w:r>
        <w:t>This ADD explains the architecture of CivicFlow 1.0.4 and the decisions behind the source implementation. It complements the SRS and the complete System Design and Data Dictionary. The principal drivers are reliable request handling, confidentiality of evidence, accountable staff decisions, cPanel deployability and maintainable changes by a five-person team.</w:t>
      </w:r>
    </w:p>
    <w:p>
      <w:r>
        <w:t>The implemented baseline is a single-instance, server-rendered PHP application with PDO, MySQL or MariaDB for hosting and SQLite for local evaluation. It uses a front controller, shared access checks, workflow modules and a CLI worker. It does not implement Laravel, a separate SPA, microservices or automatic cloud scaling.</w:t>
      </w:r>
    </w:p>
    <w:p>
      <w:pPr>
        <w:pStyle w:val="Heading1"/>
        <w:keepNext/>
      </w:pPr>
      <w:r>
        <w:rPr>
          <w:color w:val="000000"/>
        </w:rPr>
        <w:t>2 Context and deployment view</w:t>
      </w:r>
    </w:p>
    <w:p>
      <w:pPr>
        <w:keepNext/>
        <w:jc w:val="center"/>
      </w:pPr>
      <w:r>
        <w:drawing>
          <wp:inline xmlns:a="http://schemas.openxmlformats.org/drawingml/2006/main" xmlns:pic="http://schemas.openxmlformats.org/drawingml/2006/picture">
            <wp:extent cx="5577840" cy="3997452"/>
            <wp:docPr id="1" name="Picture 1" descr="Figure 2.1 Single instance deployment and trust boundaries"/>
            <wp:cNvGraphicFramePr>
              <a:graphicFrameLocks noChangeAspect="1"/>
            </wp:cNvGraphicFramePr>
            <a:graphic>
              <a:graphicData uri="http://schemas.openxmlformats.org/drawingml/2006/picture">
                <pic:pic>
                  <pic:nvPicPr>
                    <pic:cNvPr id="0" name="14_Deployment_Topology.png"/>
                    <pic:cNvPicPr/>
                  </pic:nvPicPr>
                  <pic:blipFill>
                    <a:blip r:embed="rId10"/>
                    <a:stretch>
                      <a:fillRect/>
                    </a:stretch>
                  </pic:blipFill>
                  <pic:spPr>
                    <a:xfrm>
                      <a:off x="0" y="0"/>
                      <a:ext cx="5577840" cy="3997452"/>
                    </a:xfrm>
                    <a:prstGeom prst="rect"/>
                  </pic:spPr>
                </pic:pic>
              </a:graphicData>
            </a:graphic>
          </wp:inline>
        </w:drawing>
      </w:r>
    </w:p>
    <w:p>
      <w:pPr>
        <w:spacing w:after="200"/>
        <w:jc w:val="center"/>
      </w:pPr>
      <w:r>
        <w:rPr>
          <w:sz w:val="20"/>
        </w:rPr>
        <w:t>Figure 2.1 Single instance deployment and trust boundaries</w:t>
      </w:r>
    </w:p>
    <w:p>
      <w:r>
        <w:t>The host terminates HTTPS and applies clean-route and private-directory rules. PHP holds the session and enforces permissions before reading or changing data. Private attachment bytes, sessions and logs stay under protected storage. Cron invokes the worker through CLI. Configured providers form an external trust boundary, so their failure must not erase a committed request update.</w:t>
      </w:r>
    </w:p>
    <w:p>
      <w:pPr>
        <w:pStyle w:val="Heading1"/>
        <w:keepNext/>
      </w:pPr>
      <w:r>
        <w:rPr>
          <w:color w:val="000000"/>
        </w:rPr>
        <w:t>3 Module and data responsibilities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1800"/>
        <w:gridCol w:w="3456"/>
        <w:gridCol w:w="3744"/>
      </w:tblGrid>
      <w:tr>
        <w:trPr>
          <w:cantSplit/>
          <w:tblHeader/>
        </w:trPr>
        <w:tc>
          <w:tcPr>
            <w:tcW w:type="dxa" w:w="1800"/>
            <w:vAlign w:val="center"/>
            <w:shd w:fill="D9E2F3"/>
          </w:tcPr>
          <w:p>
            <w:pPr>
              <w:keepNext/>
              <w:spacing w:before="0" w:after="40" w:line="259" w:lineRule="auto"/>
              <w:jc w:val="left"/>
            </w:pPr>
            <w:r>
              <w:rPr>
                <w:rFonts w:ascii="Times New Roman" w:hAnsi="Times New Roman"/>
                <w:b/>
                <w:color w:val="000000"/>
                <w:sz w:val="20"/>
              </w:rPr>
              <w:t>Module</w:t>
            </w:r>
          </w:p>
        </w:tc>
        <w:tc>
          <w:tcPr>
            <w:tcW w:type="dxa" w:w="3456"/>
            <w:vAlign w:val="center"/>
            <w:shd w:fill="D9E2F3"/>
          </w:tcPr>
          <w:p>
            <w:pPr>
              <w:keepNext/>
              <w:spacing w:before="0" w:after="40" w:line="259" w:lineRule="auto"/>
              <w:jc w:val="left"/>
            </w:pPr>
            <w:r>
              <w:rPr>
                <w:rFonts w:ascii="Times New Roman" w:hAnsi="Times New Roman"/>
                <w:b/>
                <w:color w:val="000000"/>
                <w:sz w:val="20"/>
              </w:rPr>
              <w:t>Principal files</w:t>
            </w:r>
          </w:p>
        </w:tc>
        <w:tc>
          <w:tcPr>
            <w:tcW w:type="dxa" w:w="3744"/>
            <w:vAlign w:val="center"/>
            <w:shd w:fill="D9E2F3"/>
          </w:tcPr>
          <w:p>
            <w:pPr>
              <w:keepNext/>
              <w:spacing w:before="0" w:after="40" w:line="259" w:lineRule="auto"/>
              <w:jc w:val="left"/>
            </w:pPr>
            <w:r>
              <w:rPr>
                <w:rFonts w:ascii="Times New Roman" w:hAnsi="Times New Roman"/>
                <w:b/>
                <w:color w:val="000000"/>
                <w:sz w:val="20"/>
              </w:rPr>
              <w:t>Responsibility</w:t>
            </w:r>
          </w:p>
        </w:tc>
      </w:tr>
      <w:tr>
        <w:trPr>
          <w:cantSplit/>
        </w:trPr>
        <w:tc>
          <w:tcPr>
            <w:tcW w:type="dxa" w:w="1800"/>
            <w:vAlign w:val="center"/>
            <w:shd w:fill="FFFFFF"/>
          </w:tcPr>
          <w:p>
            <w:pPr>
              <w:keepNext w:val="0"/>
              <w:spacing w:before="0" w:after="40" w:line="259" w:lineRule="auto"/>
              <w:jc w:val="left"/>
            </w:pPr>
            <w:r>
              <w:rPr>
                <w:rFonts w:ascii="Times New Roman" w:hAnsi="Times New Roman"/>
                <w:b w:val="0"/>
                <w:color w:val="000000"/>
                <w:sz w:val="20"/>
              </w:rPr>
              <w:t>Entry and bootstrap</w:t>
            </w:r>
          </w:p>
        </w:tc>
        <w:tc>
          <w:tcPr>
            <w:tcW w:type="dxa" w:w="3456"/>
            <w:vAlign w:val="center"/>
            <w:shd w:fill="FFFFFF"/>
          </w:tcPr>
          <w:p>
            <w:pPr>
              <w:keepNext w:val="0"/>
              <w:spacing w:before="0" w:after="40" w:line="259" w:lineRule="auto"/>
              <w:jc w:val="left"/>
            </w:pPr>
            <w:r>
              <w:rPr>
                <w:rFonts w:ascii="Times New Roman" w:hAnsi="Times New Roman"/>
                <w:b w:val="0"/>
                <w:color w:val="000000"/>
                <w:sz w:val="20"/>
              </w:rPr>
              <w:t>index.php, app/bootstrap.php</w:t>
            </w:r>
          </w:p>
        </w:tc>
        <w:tc>
          <w:tcPr>
            <w:tcW w:type="dxa" w:w="3744"/>
            <w:vAlign w:val="center"/>
            <w:shd w:fill="FFFFFF"/>
          </w:tcPr>
          <w:p>
            <w:pPr>
              <w:keepNext w:val="0"/>
              <w:spacing w:before="0" w:after="40" w:line="259" w:lineRule="auto"/>
              <w:jc w:val="left"/>
            </w:pPr>
            <w:r>
              <w:rPr>
                <w:rFonts w:ascii="Times New Roman" w:hAnsi="Times New Roman"/>
                <w:b w:val="0"/>
                <w:color w:val="000000"/>
                <w:sz w:val="20"/>
              </w:rPr>
              <w:t>Routes, configuration, runtime storage and session setup.</w:t>
            </w:r>
          </w:p>
        </w:tc>
      </w:tr>
      <w:tr>
        <w:trPr>
          <w:cantSplit/>
        </w:trPr>
        <w:tc>
          <w:tcPr>
            <w:tcW w:type="dxa" w:w="1800"/>
            <w:vAlign w:val="center"/>
            <w:shd w:fill="F5F6F8"/>
          </w:tcPr>
          <w:p>
            <w:pPr>
              <w:keepNext w:val="0"/>
              <w:spacing w:before="0" w:after="40" w:line="259" w:lineRule="auto"/>
              <w:jc w:val="left"/>
            </w:pPr>
            <w:r>
              <w:rPr>
                <w:rFonts w:ascii="Times New Roman" w:hAnsi="Times New Roman"/>
                <w:b w:val="0"/>
                <w:color w:val="000000"/>
                <w:sz w:val="20"/>
              </w:rPr>
              <w:t>Access and account security</w:t>
            </w:r>
          </w:p>
        </w:tc>
        <w:tc>
          <w:tcPr>
            <w:tcW w:type="dxa" w:w="3456"/>
            <w:vAlign w:val="center"/>
            <w:shd w:fill="F5F6F8"/>
          </w:tcPr>
          <w:p>
            <w:pPr>
              <w:keepNext w:val="0"/>
              <w:spacing w:before="0" w:after="40" w:line="259" w:lineRule="auto"/>
              <w:jc w:val="left"/>
            </w:pPr>
            <w:r>
              <w:rPr>
                <w:rFonts w:ascii="Times New Roman" w:hAnsi="Times New Roman"/>
                <w:b w:val="0"/>
                <w:color w:val="000000"/>
                <w:sz w:val="20"/>
              </w:rPr>
              <w:t>permissions.php, security.php, account_security.php</w:t>
            </w:r>
          </w:p>
        </w:tc>
        <w:tc>
          <w:tcPr>
            <w:tcW w:type="dxa" w:w="3744"/>
            <w:vAlign w:val="center"/>
            <w:shd w:fill="F5F6F8"/>
          </w:tcPr>
          <w:p>
            <w:pPr>
              <w:keepNext w:val="0"/>
              <w:spacing w:before="0" w:after="40" w:line="259" w:lineRule="auto"/>
              <w:jc w:val="left"/>
            </w:pPr>
            <w:r>
              <w:rPr>
                <w:rFonts w:ascii="Times New Roman" w:hAnsi="Times New Roman"/>
                <w:b w:val="0"/>
                <w:color w:val="000000"/>
                <w:sz w:val="20"/>
              </w:rPr>
              <w:t>Action rights, record scope, tokens, MFA and session revocation.</w:t>
            </w:r>
          </w:p>
        </w:tc>
      </w:tr>
      <w:tr>
        <w:trPr>
          <w:cantSplit/>
        </w:trPr>
        <w:tc>
          <w:tcPr>
            <w:tcW w:type="dxa" w:w="1800"/>
            <w:vAlign w:val="center"/>
            <w:shd w:fill="FFFFFF"/>
          </w:tcPr>
          <w:p>
            <w:pPr>
              <w:keepNext w:val="0"/>
              <w:spacing w:before="0" w:after="40" w:line="259" w:lineRule="auto"/>
              <w:jc w:val="left"/>
            </w:pPr>
            <w:r>
              <w:rPr>
                <w:rFonts w:ascii="Times New Roman" w:hAnsi="Times New Roman"/>
                <w:b w:val="0"/>
                <w:color w:val="000000"/>
                <w:sz w:val="20"/>
              </w:rPr>
              <w:t>Request domain</w:t>
            </w:r>
          </w:p>
        </w:tc>
        <w:tc>
          <w:tcPr>
            <w:tcW w:type="dxa" w:w="3456"/>
            <w:vAlign w:val="center"/>
            <w:shd w:fill="FFFFFF"/>
          </w:tcPr>
          <w:p>
            <w:pPr>
              <w:keepNext w:val="0"/>
              <w:spacing w:before="0" w:after="40" w:line="259" w:lineRule="auto"/>
              <w:jc w:val="left"/>
            </w:pPr>
            <w:r>
              <w:rPr>
                <w:rFonts w:ascii="Times New Roman" w:hAnsi="Times New Roman"/>
                <w:b w:val="0"/>
                <w:color w:val="000000"/>
                <w:sz w:val="20"/>
              </w:rPr>
              <w:t>domain.php, actions.php, pages_workspace.php</w:t>
            </w:r>
          </w:p>
        </w:tc>
        <w:tc>
          <w:tcPr>
            <w:tcW w:type="dxa" w:w="3744"/>
            <w:vAlign w:val="center"/>
            <w:shd w:fill="FFFFFF"/>
          </w:tcPr>
          <w:p>
            <w:pPr>
              <w:keepNext w:val="0"/>
              <w:spacing w:before="0" w:after="40" w:line="259" w:lineRule="auto"/>
              <w:jc w:val="left"/>
            </w:pPr>
            <w:r>
              <w:rPr>
                <w:rFonts w:ascii="Times New Roman" w:hAnsi="Times New Roman"/>
                <w:b w:val="0"/>
                <w:color w:val="000000"/>
                <w:sz w:val="20"/>
              </w:rPr>
              <w:t>Submission, state transitions, evidence and citizen/staff interactions.</w:t>
            </w:r>
          </w:p>
        </w:tc>
      </w:tr>
      <w:tr>
        <w:trPr>
          <w:cantSplit/>
        </w:trPr>
        <w:tc>
          <w:tcPr>
            <w:tcW w:type="dxa" w:w="1800"/>
            <w:vAlign w:val="center"/>
            <w:shd w:fill="F5F6F8"/>
          </w:tcPr>
          <w:p>
            <w:pPr>
              <w:keepNext w:val="0"/>
              <w:spacing w:before="0" w:after="40" w:line="259" w:lineRule="auto"/>
              <w:jc w:val="left"/>
            </w:pPr>
            <w:r>
              <w:rPr>
                <w:rFonts w:ascii="Times New Roman" w:hAnsi="Times New Roman"/>
                <w:b w:val="0"/>
                <w:color w:val="000000"/>
                <w:sz w:val="20"/>
              </w:rPr>
              <w:t>Administration and communications</w:t>
            </w:r>
          </w:p>
        </w:tc>
        <w:tc>
          <w:tcPr>
            <w:tcW w:type="dxa" w:w="3456"/>
            <w:vAlign w:val="center"/>
            <w:shd w:fill="F5F6F8"/>
          </w:tcPr>
          <w:p>
            <w:pPr>
              <w:keepNext w:val="0"/>
              <w:spacing w:before="0" w:after="40" w:line="259" w:lineRule="auto"/>
              <w:jc w:val="left"/>
            </w:pPr>
            <w:r>
              <w:rPr>
                <w:rFonts w:ascii="Times New Roman" w:hAnsi="Times New Roman"/>
                <w:b w:val="0"/>
                <w:color w:val="000000"/>
                <w:sz w:val="20"/>
              </w:rPr>
              <w:t>admin_actions.php, operations_actions.php, pages_admin.php</w:t>
            </w:r>
          </w:p>
        </w:tc>
        <w:tc>
          <w:tcPr>
            <w:tcW w:type="dxa" w:w="3744"/>
            <w:vAlign w:val="center"/>
            <w:shd w:fill="F5F6F8"/>
          </w:tcPr>
          <w:p>
            <w:pPr>
              <w:keepNext w:val="0"/>
              <w:spacing w:before="0" w:after="40" w:line="259" w:lineRule="auto"/>
              <w:jc w:val="left"/>
            </w:pPr>
            <w:r>
              <w:rPr>
                <w:rFonts w:ascii="Times New Roman" w:hAnsi="Times New Roman"/>
                <w:b w:val="0"/>
                <w:color w:val="000000"/>
                <w:sz w:val="20"/>
              </w:rPr>
              <w:t>Catalogue, users, settings, templates and outbox controls.</w:t>
            </w:r>
          </w:p>
        </w:tc>
      </w:tr>
      <w:tr>
        <w:trPr>
          <w:cantSplit/>
        </w:trPr>
        <w:tc>
          <w:tcPr>
            <w:tcW w:type="dxa" w:w="1800"/>
            <w:vAlign w:val="center"/>
            <w:shd w:fill="FFFFFF"/>
          </w:tcPr>
          <w:p>
            <w:pPr>
              <w:keepNext w:val="0"/>
              <w:spacing w:before="0" w:after="40" w:line="259" w:lineRule="auto"/>
              <w:jc w:val="left"/>
            </w:pPr>
            <w:r>
              <w:rPr>
                <w:rFonts w:ascii="Times New Roman" w:hAnsi="Times New Roman"/>
                <w:b w:val="0"/>
                <w:color w:val="000000"/>
                <w:sz w:val="20"/>
              </w:rPr>
              <w:t>Integration and worker</w:t>
            </w:r>
          </w:p>
        </w:tc>
        <w:tc>
          <w:tcPr>
            <w:tcW w:type="dxa" w:w="3456"/>
            <w:vAlign w:val="center"/>
            <w:shd w:fill="FFFFFF"/>
          </w:tcPr>
          <w:p>
            <w:pPr>
              <w:keepNext w:val="0"/>
              <w:spacing w:before="0" w:after="40" w:line="259" w:lineRule="auto"/>
              <w:jc w:val="left"/>
            </w:pPr>
            <w:r>
              <w:rPr>
                <w:rFonts w:ascii="Times New Roman" w:hAnsi="Times New Roman"/>
                <w:b w:val="0"/>
                <w:color w:val="000000"/>
                <w:sz w:val="20"/>
              </w:rPr>
              <w:t>integrations.php, email_templates.php, cron/run.php</w:t>
            </w:r>
          </w:p>
        </w:tc>
        <w:tc>
          <w:tcPr>
            <w:tcW w:type="dxa" w:w="3744"/>
            <w:vAlign w:val="center"/>
            <w:shd w:fill="FFFFFF"/>
          </w:tcPr>
          <w:p>
            <w:pPr>
              <w:keepNext w:val="0"/>
              <w:spacing w:before="0" w:after="40" w:line="259" w:lineRule="auto"/>
              <w:jc w:val="left"/>
            </w:pPr>
            <w:r>
              <w:rPr>
                <w:rFonts w:ascii="Times New Roman" w:hAnsi="Times New Roman"/>
                <w:b w:val="0"/>
                <w:color w:val="000000"/>
                <w:sz w:val="20"/>
              </w:rPr>
              <w:t>Configured delivery, guidance, retry and escalation.</w:t>
            </w:r>
          </w:p>
        </w:tc>
      </w:tr>
      <w:tr>
        <w:trPr>
          <w:cantSplit/>
        </w:trPr>
        <w:tc>
          <w:tcPr>
            <w:tcW w:type="dxa" w:w="1800"/>
            <w:vAlign w:val="center"/>
            <w:shd w:fill="F5F6F8"/>
          </w:tcPr>
          <w:p>
            <w:pPr>
              <w:keepNext w:val="0"/>
              <w:spacing w:before="0" w:after="40" w:line="259" w:lineRule="auto"/>
              <w:jc w:val="left"/>
            </w:pPr>
            <w:r>
              <w:rPr>
                <w:rFonts w:ascii="Times New Roman" w:hAnsi="Times New Roman"/>
                <w:b w:val="0"/>
                <w:color w:val="000000"/>
                <w:sz w:val="20"/>
              </w:rPr>
              <w:t>Persistence</w:t>
            </w:r>
          </w:p>
        </w:tc>
        <w:tc>
          <w:tcPr>
            <w:tcW w:type="dxa" w:w="3456"/>
            <w:vAlign w:val="center"/>
            <w:shd w:fill="F5F6F8"/>
          </w:tcPr>
          <w:p>
            <w:pPr>
              <w:keepNext w:val="0"/>
              <w:spacing w:before="0" w:after="40" w:line="259" w:lineRule="auto"/>
              <w:jc w:val="left"/>
            </w:pPr>
            <w:r>
              <w:rPr>
                <w:rFonts w:ascii="Times New Roman" w:hAnsi="Times New Roman"/>
                <w:b w:val="0"/>
                <w:color w:val="000000"/>
                <w:sz w:val="20"/>
              </w:rPr>
              <w:t>database.php and schema references</w:t>
            </w:r>
          </w:p>
        </w:tc>
        <w:tc>
          <w:tcPr>
            <w:tcW w:type="dxa" w:w="3744"/>
            <w:vAlign w:val="center"/>
            <w:shd w:fill="F5F6F8"/>
          </w:tcPr>
          <w:p>
            <w:pPr>
              <w:keepNext w:val="0"/>
              <w:spacing w:before="0" w:after="40" w:line="259" w:lineRule="auto"/>
              <w:jc w:val="left"/>
            </w:pPr>
            <w:r>
              <w:rPr>
                <w:rFonts w:ascii="Times New Roman" w:hAnsi="Times New Roman"/>
                <w:b w:val="0"/>
                <w:color w:val="000000"/>
                <w:sz w:val="20"/>
              </w:rPr>
              <w:t>Prepared PDO statements, constraints, transactions and version checks.</w:t>
            </w:r>
          </w:p>
        </w:tc>
      </w:tr>
    </w:tbl>
    <w:p>
      <w:r>
        <w:t>The schema separates identity, catalogue, requests, history, attachments, delivery and oversight. There are 21 tables. The data dictionary preserves the declared foreign keys and separately identifies application-enforced logical references. Request department and service are distinct so a permitted reroute can change processing ownership without rewriting the original service selection.</w:t>
      </w:r>
    </w:p>
    <w:p>
      <w:pPr>
        <w:pStyle w:val="Heading1"/>
        <w:keepNext/>
      </w:pPr>
      <w:r>
        <w:rPr>
          <w:color w:val="000000"/>
        </w:rPr>
        <w:t>4 Architecture decision records</w:t>
      </w:r>
    </w:p>
    <w:p>
      <w:pPr>
        <w:pStyle w:val="Heading2"/>
        <w:keepNext/>
      </w:pPr>
      <w:r>
        <w:rPr>
          <w:color w:val="000000"/>
        </w:rPr>
        <w:t>ADR01 Modular monolith on PHP</w:t>
      </w:r>
    </w:p>
    <w:p>
      <w:r>
        <w:t>A server-rendered PHP application matches the target cPanel deployment and keeps routing, sessions and review actions within one runtime. A separate SPA and API would increase cross-origin, build and deployment coordination. The consequence is a clear module convention and code review rather than framework-provided conventions.</w:t>
      </w:r>
    </w:p>
    <w:p>
      <w:pPr>
        <w:pStyle w:val="Heading2"/>
        <w:keepNext/>
      </w:pPr>
      <w:r>
        <w:rPr>
          <w:color w:val="000000"/>
        </w:rPr>
        <w:t>ADR02 PDO and relational persistence</w:t>
      </w:r>
    </w:p>
    <w:p>
      <w:r>
        <w:t>MySQL or MariaDB fits hosted operation, while SQLite simplifies isolated evaluation. Prepared statements, transactions and constraints support consistency. The consequence is a need to verify both schema variants and perform full HTTP/PDO-MySQL acceptance on the target host.</w:t>
      </w:r>
    </w:p>
    <w:p>
      <w:pPr>
        <w:pStyle w:val="Heading2"/>
        <w:keepNext/>
      </w:pPr>
      <w:r>
        <w:rPr>
          <w:color w:val="000000"/>
        </w:rPr>
        <w:t>ADR03 Action permission with record scope</w:t>
      </w:r>
    </w:p>
    <w:p>
      <w:r>
        <w:t>Role membership supplies capabilities, while ownership, department and organisation scope limit records. Internal evidence adds a visibility check. The consequence is that menus are insufficient security controls and every route, mutation and download must apply server-side checks.</w:t>
      </w:r>
    </w:p>
    <w:p>
      <w:pPr>
        <w:pStyle w:val="Heading2"/>
        <w:keepNext/>
      </w:pPr>
      <w:r>
        <w:rPr>
          <w:color w:val="000000"/>
        </w:rPr>
        <w:t>ADR04 Private files outside direct web access</w:t>
      </w:r>
    </w:p>
    <w:p>
      <w:r>
        <w:t>Random filenames and protected storage separate uploaded bytes from public asset paths. Downloads check the parent request and visibility. MIME, size and quota checks constrain uploads. File hashes provide integrity metadata and do not provide malware scanning.</w:t>
      </w:r>
    </w:p>
    <w:p>
      <w:pPr>
        <w:pStyle w:val="Heading2"/>
        <w:keepNext/>
      </w:pPr>
      <w:r>
        <w:rPr>
          <w:color w:val="000000"/>
        </w:rPr>
        <w:t>ADR05 Durable outbox and scheduled worker</w:t>
      </w:r>
    </w:p>
    <w:p>
      <w:r>
        <w:t>A request update commits locally before external delivery is attempted. The worker uses locking, conditional claims and bounded retries. The consequence is eventual external communication, an operational cron dependency and a distinction between provider acceptance and destination receipt.</w:t>
      </w:r>
    </w:p>
    <w:p>
      <w:pPr>
        <w:pStyle w:val="Heading2"/>
        <w:keepNext/>
      </w:pPr>
      <w:r>
        <w:rPr>
          <w:color w:val="000000"/>
        </w:rPr>
        <w:t>ADR06 Public-context optional AI</w:t>
      </w:r>
    </w:p>
    <w:p>
      <w:r>
        <w:t>The local guide works without a provider. Configured AI receives a selected question and public service information and has no private-case or decision tool. The consequence is that guidance can be inaccurate and live provider acceptance remains a separate check.</w:t>
      </w:r>
    </w:p>
    <w:p>
      <w:pPr>
        <w:pStyle w:val="Heading2"/>
        <w:keepNext/>
      </w:pPr>
      <w:r>
        <w:rPr>
          <w:color w:val="000000"/>
        </w:rPr>
        <w:t>ADR07 Single-host baseline and scaling path</w:t>
      </w:r>
    </w:p>
    <w:p>
      <w:r>
        <w:t>The release uses local sessions, files and job locks. This is suitable for a bounded single-host baseline. Multi-host expansion would require shared or externalised sessions and files, coordinated jobs, database capacity measurement and tested routing. No automatic scaling or high availability is claimed.</w:t>
      </w:r>
    </w:p>
    <w:p>
      <w:pPr>
        <w:pStyle w:val="Heading1"/>
        <w:keepNext/>
      </w:pPr>
      <w:r>
        <w:rPr>
          <w:color w:val="000000"/>
        </w:rPr>
        <w:t>5 Formal behavioural views</w:t>
      </w:r>
    </w:p>
    <w:p>
      <w:pPr>
        <w:keepNext/>
        <w:jc w:val="center"/>
      </w:pPr>
      <w:r>
        <w:drawing>
          <wp:inline xmlns:a="http://schemas.openxmlformats.org/drawingml/2006/main" xmlns:pic="http://schemas.openxmlformats.org/drawingml/2006/picture">
            <wp:extent cx="5577840" cy="3207258"/>
            <wp:docPr id="2" name="Picture 2" descr="Figure 5.1 Actor and use case view"/>
            <wp:cNvGraphicFramePr>
              <a:graphicFrameLocks noChangeAspect="1"/>
            </wp:cNvGraphicFramePr>
            <a:graphic>
              <a:graphicData uri="http://schemas.openxmlformats.org/drawingml/2006/picture">
                <pic:pic>
                  <pic:nvPicPr>
                    <pic:cNvPr id="0" name="12_Use_Case.png"/>
                    <pic:cNvPicPr/>
                  </pic:nvPicPr>
                  <pic:blipFill>
                    <a:blip r:embed="rId11"/>
                    <a:stretch>
                      <a:fillRect/>
                    </a:stretch>
                  </pic:blipFill>
                  <pic:spPr>
                    <a:xfrm>
                      <a:off x="0" y="0"/>
                      <a:ext cx="5577840" cy="3207258"/>
                    </a:xfrm>
                    <a:prstGeom prst="rect"/>
                  </pic:spPr>
                </pic:pic>
              </a:graphicData>
            </a:graphic>
          </wp:inline>
        </w:drawing>
      </w:r>
    </w:p>
    <w:p>
      <w:pPr>
        <w:spacing w:after="200"/>
        <w:jc w:val="center"/>
      </w:pPr>
      <w:r>
        <w:rPr>
          <w:sz w:val="20"/>
        </w:rPr>
        <w:t>Figure 5.1 Actor and use case view</w:t>
      </w:r>
    </w:p>
    <w:p>
      <w:pPr>
        <w:keepNext/>
        <w:jc w:val="center"/>
      </w:pPr>
      <w:r>
        <w:drawing>
          <wp:inline xmlns:a="http://schemas.openxmlformats.org/drawingml/2006/main" xmlns:pic="http://schemas.openxmlformats.org/drawingml/2006/picture">
            <wp:extent cx="5577840" cy="3950970"/>
            <wp:docPr id="3" name="Picture 3" descr="Figure 5.2 Complaint submission and information reply sequence"/>
            <wp:cNvGraphicFramePr>
              <a:graphicFrameLocks noChangeAspect="1"/>
            </wp:cNvGraphicFramePr>
            <a:graphic>
              <a:graphicData uri="http://schemas.openxmlformats.org/drawingml/2006/picture">
                <pic:pic>
                  <pic:nvPicPr>
                    <pic:cNvPr id="0" name="13_Submission_Sequence.png"/>
                    <pic:cNvPicPr/>
                  </pic:nvPicPr>
                  <pic:blipFill>
                    <a:blip r:embed="rId12"/>
                    <a:stretch>
                      <a:fillRect/>
                    </a:stretch>
                  </pic:blipFill>
                  <pic:spPr>
                    <a:xfrm>
                      <a:off x="0" y="0"/>
                      <a:ext cx="5577840" cy="3950970"/>
                    </a:xfrm>
                    <a:prstGeom prst="rect"/>
                  </pic:spPr>
                </pic:pic>
              </a:graphicData>
            </a:graphic>
          </wp:inline>
        </w:drawing>
      </w:r>
    </w:p>
    <w:p>
      <w:pPr>
        <w:spacing w:after="200"/>
        <w:jc w:val="center"/>
      </w:pPr>
      <w:r>
        <w:rPr>
          <w:sz w:val="20"/>
        </w:rPr>
        <w:t>Figure 5.2 Complaint submission and information reply sequence</w:t>
      </w:r>
    </w:p>
    <w:p>
      <w:r>
        <w:t>State transitions, reasons and optimistic versions form the processing contract. Submitted enters In review before a final decision. Only a permit becomes Approved and only a complaint becomes Resolved. An owner reply returns Needs information to Submitted. Eligible withdrawal and complaint reopening follow the SRS business rules. Invalid transitions and stale writes leave the request unchanged.</w:t>
      </w:r>
    </w:p>
    <w:p>
      <w:pPr>
        <w:pStyle w:val="Heading1"/>
        <w:keepNext/>
      </w:pPr>
      <w:r>
        <w:rPr>
          <w:color w:val="000000"/>
        </w:rPr>
        <w:t>6 Interface designs</w:t>
      </w:r>
    </w:p>
    <w:p>
      <w:pPr>
        <w:keepNext/>
        <w:jc w:val="center"/>
      </w:pPr>
      <w:r>
        <w:drawing>
          <wp:inline xmlns:a="http://schemas.openxmlformats.org/drawingml/2006/main" xmlns:pic="http://schemas.openxmlformats.org/drawingml/2006/picture">
            <wp:extent cx="5577840" cy="3486150"/>
            <wp:docPr id="4" name="Picture 4" descr="Figure 6.1 Citizen workspace design wireframe"/>
            <wp:cNvGraphicFramePr>
              <a:graphicFrameLocks noChangeAspect="1"/>
            </wp:cNvGraphicFramePr>
            <a:graphic>
              <a:graphicData uri="http://schemas.openxmlformats.org/drawingml/2006/picture">
                <pic:pic>
                  <pic:nvPicPr>
                    <pic:cNvPr id="0" name="15_Citizen_Wireframe.png"/>
                    <pic:cNvPicPr/>
                  </pic:nvPicPr>
                  <pic:blipFill>
                    <a:blip r:embed="rId13"/>
                    <a:stretch>
                      <a:fillRect/>
                    </a:stretch>
                  </pic:blipFill>
                  <pic:spPr>
                    <a:xfrm>
                      <a:off x="0" y="0"/>
                      <a:ext cx="5577840" cy="3486150"/>
                    </a:xfrm>
                    <a:prstGeom prst="rect"/>
                  </pic:spPr>
                </pic:pic>
              </a:graphicData>
            </a:graphic>
          </wp:inline>
        </w:drawing>
      </w:r>
    </w:p>
    <w:p>
      <w:pPr>
        <w:spacing w:after="200"/>
        <w:jc w:val="center"/>
      </w:pPr>
      <w:r>
        <w:rPr>
          <w:sz w:val="20"/>
        </w:rPr>
        <w:t>Figure 6.1 Citizen workspace design wireframe</w:t>
      </w:r>
    </w:p>
    <w:p>
      <w:pPr>
        <w:keepNext/>
        <w:jc w:val="center"/>
      </w:pPr>
      <w:r>
        <w:drawing>
          <wp:inline xmlns:a="http://schemas.openxmlformats.org/drawingml/2006/main" xmlns:pic="http://schemas.openxmlformats.org/drawingml/2006/picture">
            <wp:extent cx="5577840" cy="3486150"/>
            <wp:docPr id="5" name="Picture 5" descr="Figure 6.2 Department queue design wireframe"/>
            <wp:cNvGraphicFramePr>
              <a:graphicFrameLocks noChangeAspect="1"/>
            </wp:cNvGraphicFramePr>
            <a:graphic>
              <a:graphicData uri="http://schemas.openxmlformats.org/drawingml/2006/picture">
                <pic:pic>
                  <pic:nvPicPr>
                    <pic:cNvPr id="0" name="16_Staff_Wireframe.png"/>
                    <pic:cNvPicPr/>
                  </pic:nvPicPr>
                  <pic:blipFill>
                    <a:blip r:embed="rId14"/>
                    <a:stretch>
                      <a:fillRect/>
                    </a:stretch>
                  </pic:blipFill>
                  <pic:spPr>
                    <a:xfrm>
                      <a:off x="0" y="0"/>
                      <a:ext cx="5577840" cy="3486150"/>
                    </a:xfrm>
                    <a:prstGeom prst="rect"/>
                  </pic:spPr>
                </pic:pic>
              </a:graphicData>
            </a:graphic>
          </wp:inline>
        </w:drawing>
      </w:r>
    </w:p>
    <w:p>
      <w:pPr>
        <w:spacing w:after="200"/>
        <w:jc w:val="center"/>
      </w:pPr>
      <w:r>
        <w:rPr>
          <w:sz w:val="20"/>
        </w:rPr>
        <w:t>Figure 6.2 Department queue design wireframe</w:t>
      </w:r>
    </w:p>
    <w:p>
      <w:r>
        <w:t>These wireframes describe navigation and screen responsibility. Citizen screens emphasise own requests, missing information and private tracking. Staff screens emphasise authorised queues and next actions. Actual labels, keyboard order, mobile wrapping, slider pause and reduced-motion behaviour must be reviewed in the rendered application.</w:t>
      </w:r>
    </w:p>
    <w:p>
      <w:pPr>
        <w:pStyle w:val="Heading1"/>
        <w:keepNext/>
      </w:pPr>
      <w:r>
        <w:rPr>
          <w:color w:val="000000"/>
        </w:rPr>
        <w:t>7 Threat and quality review</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1944"/>
        <w:gridCol w:w="3600"/>
        <w:gridCol w:w="3456"/>
      </w:tblGrid>
      <w:tr>
        <w:trPr>
          <w:cantSplit/>
          <w:tblHeader/>
        </w:trPr>
        <w:tc>
          <w:tcPr>
            <w:tcW w:type="dxa" w:w="1944"/>
            <w:vAlign w:val="center"/>
            <w:shd w:fill="D9E2F3"/>
          </w:tcPr>
          <w:p>
            <w:pPr>
              <w:keepNext/>
              <w:spacing w:before="0" w:after="40" w:line="259" w:lineRule="auto"/>
              <w:jc w:val="left"/>
            </w:pPr>
            <w:r>
              <w:rPr>
                <w:rFonts w:ascii="Times New Roman" w:hAnsi="Times New Roman"/>
                <w:b/>
                <w:color w:val="000000"/>
                <w:sz w:val="20"/>
              </w:rPr>
              <w:t>Threat or failure</w:t>
            </w:r>
          </w:p>
        </w:tc>
        <w:tc>
          <w:tcPr>
            <w:tcW w:type="dxa" w:w="3600"/>
            <w:vAlign w:val="center"/>
            <w:shd w:fill="D9E2F3"/>
          </w:tcPr>
          <w:p>
            <w:pPr>
              <w:keepNext/>
              <w:spacing w:before="0" w:after="40" w:line="259" w:lineRule="auto"/>
              <w:jc w:val="left"/>
            </w:pPr>
            <w:r>
              <w:rPr>
                <w:rFonts w:ascii="Times New Roman" w:hAnsi="Times New Roman"/>
                <w:b/>
                <w:color w:val="000000"/>
                <w:sz w:val="20"/>
              </w:rPr>
              <w:t>Implemented measure</w:t>
            </w:r>
          </w:p>
        </w:tc>
        <w:tc>
          <w:tcPr>
            <w:tcW w:type="dxa" w:w="3456"/>
            <w:vAlign w:val="center"/>
            <w:shd w:fill="D9E2F3"/>
          </w:tcPr>
          <w:p>
            <w:pPr>
              <w:keepNext/>
              <w:spacing w:before="0" w:after="40" w:line="259" w:lineRule="auto"/>
              <w:jc w:val="left"/>
            </w:pPr>
            <w:r>
              <w:rPr>
                <w:rFonts w:ascii="Times New Roman" w:hAnsi="Times New Roman"/>
                <w:b/>
                <w:color w:val="000000"/>
                <w:sz w:val="20"/>
              </w:rPr>
              <w:t>Remaining verification</w:t>
            </w:r>
          </w:p>
        </w:tc>
      </w:tr>
      <w:tr>
        <w:trPr>
          <w:cantSplit/>
        </w:trPr>
        <w:tc>
          <w:tcPr>
            <w:tcW w:type="dxa" w:w="1944"/>
            <w:vAlign w:val="center"/>
            <w:shd w:fill="FFFFFF"/>
          </w:tcPr>
          <w:p>
            <w:pPr>
              <w:keepNext w:val="0"/>
              <w:spacing w:before="0" w:after="40" w:line="259" w:lineRule="auto"/>
              <w:jc w:val="left"/>
            </w:pPr>
            <w:r>
              <w:rPr>
                <w:rFonts w:ascii="Times New Roman" w:hAnsi="Times New Roman"/>
                <w:b w:val="0"/>
                <w:color w:val="000000"/>
                <w:sz w:val="20"/>
              </w:rPr>
              <w:t>Other-user or other-department access</w:t>
            </w:r>
          </w:p>
        </w:tc>
        <w:tc>
          <w:tcPr>
            <w:tcW w:type="dxa" w:w="3600"/>
            <w:vAlign w:val="center"/>
            <w:shd w:fill="FFFFFF"/>
          </w:tcPr>
          <w:p>
            <w:pPr>
              <w:keepNext w:val="0"/>
              <w:spacing w:before="0" w:after="40" w:line="259" w:lineRule="auto"/>
              <w:jc w:val="left"/>
            </w:pPr>
            <w:r>
              <w:rPr>
                <w:rFonts w:ascii="Times New Roman" w:hAnsi="Times New Roman"/>
                <w:b w:val="0"/>
                <w:color w:val="000000"/>
                <w:sz w:val="20"/>
              </w:rPr>
              <w:t>Permission plus record scope; private draft and attachment checks.</w:t>
            </w:r>
          </w:p>
        </w:tc>
        <w:tc>
          <w:tcPr>
            <w:tcW w:type="dxa" w:w="3456"/>
            <w:vAlign w:val="center"/>
            <w:shd w:fill="FFFFFF"/>
          </w:tcPr>
          <w:p>
            <w:pPr>
              <w:keepNext w:val="0"/>
              <w:spacing w:before="0" w:after="40" w:line="259" w:lineRule="auto"/>
              <w:jc w:val="left"/>
            </w:pPr>
            <w:r>
              <w:rPr>
                <w:rFonts w:ascii="Times New Roman" w:hAnsi="Times New Roman"/>
                <w:b w:val="0"/>
                <w:color w:val="000000"/>
                <w:sz w:val="20"/>
              </w:rPr>
              <w:t>Repeat negative hosted journeys and review custom roles.</w:t>
            </w:r>
          </w:p>
        </w:tc>
      </w:tr>
      <w:tr>
        <w:trPr>
          <w:cantSplit/>
        </w:trPr>
        <w:tc>
          <w:tcPr>
            <w:tcW w:type="dxa" w:w="1944"/>
            <w:vAlign w:val="center"/>
            <w:shd w:fill="F5F6F8"/>
          </w:tcPr>
          <w:p>
            <w:pPr>
              <w:keepNext w:val="0"/>
              <w:spacing w:before="0" w:after="40" w:line="259" w:lineRule="auto"/>
              <w:jc w:val="left"/>
            </w:pPr>
            <w:r>
              <w:rPr>
                <w:rFonts w:ascii="Times New Roman" w:hAnsi="Times New Roman"/>
                <w:b w:val="0"/>
                <w:color w:val="000000"/>
                <w:sz w:val="20"/>
              </w:rPr>
              <w:t>Forged or stale updates</w:t>
            </w:r>
          </w:p>
        </w:tc>
        <w:tc>
          <w:tcPr>
            <w:tcW w:type="dxa" w:w="3600"/>
            <w:vAlign w:val="center"/>
            <w:shd w:fill="F5F6F8"/>
          </w:tcPr>
          <w:p>
            <w:pPr>
              <w:keepNext w:val="0"/>
              <w:spacing w:before="0" w:after="40" w:line="259" w:lineRule="auto"/>
              <w:jc w:val="left"/>
            </w:pPr>
            <w:r>
              <w:rPr>
                <w:rFonts w:ascii="Times New Roman" w:hAnsi="Times New Roman"/>
                <w:b w:val="0"/>
                <w:color w:val="000000"/>
                <w:sz w:val="20"/>
              </w:rPr>
              <w:t>CSRF, transactions, allowed states and request versions.</w:t>
            </w:r>
          </w:p>
        </w:tc>
        <w:tc>
          <w:tcPr>
            <w:tcW w:type="dxa" w:w="3456"/>
            <w:vAlign w:val="center"/>
            <w:shd w:fill="F5F6F8"/>
          </w:tcPr>
          <w:p>
            <w:pPr>
              <w:keepNext w:val="0"/>
              <w:spacing w:before="0" w:after="40" w:line="259" w:lineRule="auto"/>
              <w:jc w:val="left"/>
            </w:pPr>
            <w:r>
              <w:rPr>
                <w:rFonts w:ascii="Times New Roman" w:hAnsi="Times New Roman"/>
                <w:b w:val="0"/>
                <w:color w:val="000000"/>
                <w:sz w:val="20"/>
              </w:rPr>
              <w:t>Concurrent-update and failure review on the target database.</w:t>
            </w:r>
          </w:p>
        </w:tc>
      </w:tr>
      <w:tr>
        <w:trPr>
          <w:cantSplit/>
        </w:trPr>
        <w:tc>
          <w:tcPr>
            <w:tcW w:type="dxa" w:w="1944"/>
            <w:vAlign w:val="center"/>
            <w:shd w:fill="FFFFFF"/>
          </w:tcPr>
          <w:p>
            <w:pPr>
              <w:keepNext w:val="0"/>
              <w:spacing w:before="0" w:after="40" w:line="259" w:lineRule="auto"/>
              <w:jc w:val="left"/>
            </w:pPr>
            <w:r>
              <w:rPr>
                <w:rFonts w:ascii="Times New Roman" w:hAnsi="Times New Roman"/>
                <w:b w:val="0"/>
                <w:color w:val="000000"/>
                <w:sz w:val="20"/>
              </w:rPr>
              <w:t>Malicious or exposed upload</w:t>
            </w:r>
          </w:p>
        </w:tc>
        <w:tc>
          <w:tcPr>
            <w:tcW w:type="dxa" w:w="3600"/>
            <w:vAlign w:val="center"/>
            <w:shd w:fill="FFFFFF"/>
          </w:tcPr>
          <w:p>
            <w:pPr>
              <w:keepNext w:val="0"/>
              <w:spacing w:before="0" w:after="40" w:line="259" w:lineRule="auto"/>
              <w:jc w:val="left"/>
            </w:pPr>
            <w:r>
              <w:rPr>
                <w:rFonts w:ascii="Times New Roman" w:hAnsi="Times New Roman"/>
                <w:b w:val="0"/>
                <w:color w:val="000000"/>
                <w:sz w:val="20"/>
              </w:rPr>
              <w:t>MIME and quota checks, random private names and protected download.</w:t>
            </w:r>
          </w:p>
        </w:tc>
        <w:tc>
          <w:tcPr>
            <w:tcW w:type="dxa" w:w="3456"/>
            <w:vAlign w:val="center"/>
            <w:shd w:fill="FFFFFF"/>
          </w:tcPr>
          <w:p>
            <w:pPr>
              <w:keepNext w:val="0"/>
              <w:spacing w:before="0" w:after="40" w:line="259" w:lineRule="auto"/>
              <w:jc w:val="left"/>
            </w:pPr>
            <w:r>
              <w:rPr>
                <w:rFonts w:ascii="Times New Roman" w:hAnsi="Times New Roman"/>
                <w:b w:val="0"/>
                <w:color w:val="000000"/>
                <w:sz w:val="20"/>
              </w:rPr>
              <w:t>Malware control policy and independent security review.</w:t>
            </w:r>
          </w:p>
        </w:tc>
      </w:tr>
      <w:tr>
        <w:trPr>
          <w:cantSplit/>
        </w:trPr>
        <w:tc>
          <w:tcPr>
            <w:tcW w:type="dxa" w:w="1944"/>
            <w:vAlign w:val="center"/>
            <w:shd w:fill="F5F6F8"/>
          </w:tcPr>
          <w:p>
            <w:pPr>
              <w:keepNext w:val="0"/>
              <w:spacing w:before="0" w:after="40" w:line="259" w:lineRule="auto"/>
              <w:jc w:val="left"/>
            </w:pPr>
            <w:r>
              <w:rPr>
                <w:rFonts w:ascii="Times New Roman" w:hAnsi="Times New Roman"/>
                <w:b w:val="0"/>
                <w:color w:val="000000"/>
                <w:sz w:val="20"/>
              </w:rPr>
              <w:t>Account compromise</w:t>
            </w:r>
          </w:p>
        </w:tc>
        <w:tc>
          <w:tcPr>
            <w:tcW w:type="dxa" w:w="3600"/>
            <w:vAlign w:val="center"/>
            <w:shd w:fill="F5F6F8"/>
          </w:tcPr>
          <w:p>
            <w:pPr>
              <w:keepNext w:val="0"/>
              <w:spacing w:before="0" w:after="40" w:line="259" w:lineRule="auto"/>
              <w:jc w:val="left"/>
            </w:pPr>
            <w:r>
              <w:rPr>
                <w:rFonts w:ascii="Times New Roman" w:hAnsi="Times New Roman"/>
                <w:b w:val="0"/>
                <w:color w:val="000000"/>
                <w:sz w:val="20"/>
              </w:rPr>
              <w:t>Password hashing, single-use tokens, optional TOTP MFA and device revocation.</w:t>
            </w:r>
          </w:p>
        </w:tc>
        <w:tc>
          <w:tcPr>
            <w:tcW w:type="dxa" w:w="3456"/>
            <w:vAlign w:val="center"/>
            <w:shd w:fill="F5F6F8"/>
          </w:tcPr>
          <w:p>
            <w:pPr>
              <w:keepNext w:val="0"/>
              <w:spacing w:before="0" w:after="40" w:line="259" w:lineRule="auto"/>
              <w:jc w:val="left"/>
            </w:pPr>
            <w:r>
              <w:rPr>
                <w:rFonts w:ascii="Times New Roman" w:hAnsi="Times New Roman"/>
                <w:b w:val="0"/>
                <w:color w:val="000000"/>
                <w:sz w:val="20"/>
              </w:rPr>
              <w:t>Staff MFA policy and account recovery review.</w:t>
            </w:r>
          </w:p>
        </w:tc>
      </w:tr>
      <w:tr>
        <w:trPr>
          <w:cantSplit/>
        </w:trPr>
        <w:tc>
          <w:tcPr>
            <w:tcW w:type="dxa" w:w="1944"/>
            <w:vAlign w:val="center"/>
            <w:shd w:fill="FFFFFF"/>
          </w:tcPr>
          <w:p>
            <w:pPr>
              <w:keepNext w:val="0"/>
              <w:spacing w:before="0" w:after="40" w:line="259" w:lineRule="auto"/>
              <w:jc w:val="left"/>
            </w:pPr>
            <w:r>
              <w:rPr>
                <w:rFonts w:ascii="Times New Roman" w:hAnsi="Times New Roman"/>
                <w:b w:val="0"/>
                <w:color w:val="000000"/>
                <w:sz w:val="20"/>
              </w:rPr>
              <w:t>Provider outage</w:t>
            </w:r>
          </w:p>
        </w:tc>
        <w:tc>
          <w:tcPr>
            <w:tcW w:type="dxa" w:w="3600"/>
            <w:vAlign w:val="center"/>
            <w:shd w:fill="FFFFFF"/>
          </w:tcPr>
          <w:p>
            <w:pPr>
              <w:keepNext w:val="0"/>
              <w:spacing w:before="0" w:after="40" w:line="259" w:lineRule="auto"/>
              <w:jc w:val="left"/>
            </w:pPr>
            <w:r>
              <w:rPr>
                <w:rFonts w:ascii="Times New Roman" w:hAnsi="Times New Roman"/>
                <w:b w:val="0"/>
                <w:color w:val="000000"/>
                <w:sz w:val="20"/>
              </w:rPr>
              <w:t>In-app update, held outbox, retry limit and local service guide.</w:t>
            </w:r>
          </w:p>
        </w:tc>
        <w:tc>
          <w:tcPr>
            <w:tcW w:type="dxa" w:w="3456"/>
            <w:vAlign w:val="center"/>
            <w:shd w:fill="FFFFFF"/>
          </w:tcPr>
          <w:p>
            <w:pPr>
              <w:keepNext w:val="0"/>
              <w:spacing w:before="0" w:after="40" w:line="259" w:lineRule="auto"/>
              <w:jc w:val="left"/>
            </w:pPr>
            <w:r>
              <w:rPr>
                <w:rFonts w:ascii="Times New Roman" w:hAnsi="Times New Roman"/>
                <w:b w:val="0"/>
                <w:color w:val="000000"/>
                <w:sz w:val="20"/>
              </w:rPr>
              <w:t>Real account and destination-receipt checks.</w:t>
            </w:r>
          </w:p>
        </w:tc>
      </w:tr>
      <w:tr>
        <w:trPr>
          <w:cantSplit/>
        </w:trPr>
        <w:tc>
          <w:tcPr>
            <w:tcW w:type="dxa" w:w="1944"/>
            <w:vAlign w:val="center"/>
            <w:shd w:fill="F5F6F8"/>
          </w:tcPr>
          <w:p>
            <w:pPr>
              <w:keepNext w:val="0"/>
              <w:spacing w:before="0" w:after="40" w:line="259" w:lineRule="auto"/>
              <w:jc w:val="left"/>
            </w:pPr>
            <w:r>
              <w:rPr>
                <w:rFonts w:ascii="Times New Roman" w:hAnsi="Times New Roman"/>
                <w:b w:val="0"/>
                <w:color w:val="000000"/>
                <w:sz w:val="20"/>
              </w:rPr>
              <w:t>Capacity or host loss</w:t>
            </w:r>
          </w:p>
        </w:tc>
        <w:tc>
          <w:tcPr>
            <w:tcW w:type="dxa" w:w="3600"/>
            <w:vAlign w:val="center"/>
            <w:shd w:fill="F5F6F8"/>
          </w:tcPr>
          <w:p>
            <w:pPr>
              <w:keepNext w:val="0"/>
              <w:spacing w:before="0" w:after="40" w:line="259" w:lineRule="auto"/>
              <w:jc w:val="left"/>
            </w:pPr>
            <w:r>
              <w:rPr>
                <w:rFonts w:ascii="Times New Roman" w:hAnsi="Times New Roman"/>
                <w:b w:val="0"/>
                <w:color w:val="000000"/>
                <w:sz w:val="20"/>
              </w:rPr>
              <w:t>Single-host baseline with backup procedure.</w:t>
            </w:r>
          </w:p>
        </w:tc>
        <w:tc>
          <w:tcPr>
            <w:tcW w:type="dxa" w:w="3456"/>
            <w:vAlign w:val="center"/>
            <w:shd w:fill="F5F6F8"/>
          </w:tcPr>
          <w:p>
            <w:pPr>
              <w:keepNext w:val="0"/>
              <w:spacing w:before="0" w:after="40" w:line="259" w:lineRule="auto"/>
              <w:jc w:val="left"/>
            </w:pPr>
            <w:r>
              <w:rPr>
                <w:rFonts w:ascii="Times New Roman" w:hAnsi="Times New Roman"/>
                <w:b w:val="0"/>
                <w:color w:val="000000"/>
                <w:sz w:val="20"/>
              </w:rPr>
              <w:t>Workload benchmark and timed restoration.</w:t>
            </w:r>
          </w:p>
        </w:tc>
      </w:tr>
    </w:tbl>
    <w:p>
      <w:r>
        <w:t>Proposed pilot targets are a 95th-percentile principal-page response within 2.5 seconds under 10 concurrent users and 10,000 stored requests, RPO no greater than 24 hours and RTO within four hours. These are planning targets, not measured results. ASVS 5.0.0, NIST SP 800-218 version 1.1 and WCAG 2.2 inform the review questions; the project makes no full-conformity claim.</w:t>
      </w:r>
    </w:p>
    <w:p>
      <w:pPr>
        <w:pStyle w:val="Heading1"/>
        <w:keepNext/>
      </w:pPr>
      <w:r>
        <w:rPr>
          <w:color w:val="000000"/>
        </w:rPr>
        <w:t>8 Release and architecture review</w:t>
      </w:r>
    </w:p>
    <w:p>
      <w:r>
        <w:t>Code changes identify an affected requirement and ADR where relevant. A reviewer checks that documentation, schema references, tests and deployment consequences remain aligned. The extracted cPanel package must preserve private directories and clean routes. The repository omits private setup keys and creates a unique key only for a local installation or privately built deployment archive.</w:t>
      </w:r>
    </w:p>
    <w:p>
      <w:r>
        <w:t>Architecture reviewer and date ____________________________________</w:t>
      </w:r>
    </w:p>
    <w:p>
      <w:r>
        <w:t>Security and data reviewer and date _________________________________</w:t>
      </w:r>
    </w:p>
    <w:p>
      <w:r>
        <w:t>Supervisor review and conditions __________________________________</w:t>
      </w:r>
    </w:p>
    <w:sectPr w:rsidR="00FC693F" w:rsidRPr="0006063C" w:rsidSect="00034616">
      <w:footerReference w:type="default" r:id="rId9"/>
      <w:pgSz w:w="12240" w:h="15840"/>
      <w:pgMar w:top="1224" w:right="1440" w:bottom="1224" w:left="1800" w:header="720" w:footer="504"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rPr>
      <w:rFonts w:ascii="Times New Roman" w:hAnsi="Times New Roman"/>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40"/>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140"/>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14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40" w:lineRule="auto" w:before="200"/>
      <w:contextualSpacing/>
    </w:pPr>
    <w:rPr>
      <w:rFonts w:ascii="Times New Roman" w:hAnsi="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200" w:after="140"/>
    </w:pPr>
    <w:rPr>
      <w:rFonts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Group 1</dc:creator>
  <cp:keywords/>
  <dc:description>generated by python-docx</dc:description>
  <cp:lastModifiedBy>Group 1</cp:lastModifiedBy>
  <cp:revision>1</cp:revision>
  <dcterms:created xsi:type="dcterms:W3CDTF">2013-12-23T23:15:00Z</dcterms:created>
  <dcterms:modified xsi:type="dcterms:W3CDTF">2013-12-23T23:15:00Z</dcterms:modified>
  <cp:category/>
  <cp:version>1.1</cp:version>
</cp:coreProperties>
</file>