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Citizen User Manual</w:t>
      </w:r>
    </w:p>
    <w:p>
      <w:pPr>
        <w:pStyle w:val="Subtitle"/>
      </w:pPr>
      <w:r>
        <w:rPr>
          <w:color w:val="000000"/>
        </w:rPr>
        <w:t>Account access service requests and progress tracking</w:t>
      </w:r>
    </w:p>
    <w:p>
      <w:pPr>
        <w:spacing w:line="240" w:lineRule="auto"/>
        <w:jc w:val="both"/>
      </w:pPr>
      <w:r>
        <w:t>Group 1   MIT 820   Application 1.0.4   Document 1.1   23 October 2026</w:t>
      </w:r>
    </w:p>
    <w:p>
      <w:pPr>
        <w:jc w:val="both"/>
      </w:pPr>
      <w:r>
        <w:t>This manual explains how a citizen creates an account, submits a complaint or permit application, follows progress and responds to the responsible department. Keep your private tracking code, password and recovery codes confidential. The portal is not an emergency response channel.</w:t>
      </w:r>
    </w:p>
    <w:p>
      <w:bookmarkStart w:id="76" w:name="h_1"/>
      <w:pPr>
        <w:pStyle w:val="Heading1"/>
        <w:keepNext/>
      </w:pPr>
      <w:r>
        <w:rPr>
          <w:color w:val="000000"/>
        </w:rPr>
        <w:t>1 Account access</w:t>
      </w:r>
      <w:bookmarkEnd w:id="76"/>
    </w:p>
    <w:p>
      <w:bookmarkStart w:id="77" w:name="h_2"/>
      <w:pPr>
        <w:pStyle w:val="Heading2"/>
        <w:keepNext/>
      </w:pPr>
      <w:r>
        <w:rPr>
          <w:color w:val="000000"/>
        </w:rPr>
        <w:t>1.1 Create an account</w:t>
      </w:r>
      <w:bookmarkEnd w:id="77"/>
    </w:p>
    <w:p>
      <w:pPr>
        <w:pStyle w:val="ListNumber"/>
        <w:numPr>
          <w:ilvl w:val="0"/>
          <w:numId w:val="10"/>
        </w:numPr>
      </w:pPr>
      <w:r>
        <w:t>Open the portal and choose Create account.</w:t>
      </w:r>
    </w:p>
    <w:p>
      <w:pPr>
        <w:pStyle w:val="ListNumber"/>
        <w:numPr>
          <w:ilvl w:val="0"/>
          <w:numId w:val="10"/>
        </w:numPr>
      </w:pPr>
      <w:r>
        <w:t>Enter your full name, email address and phone number.</w:t>
      </w:r>
    </w:p>
    <w:p>
      <w:pPr>
        <w:pStyle w:val="ListNumber"/>
        <w:numPr>
          <w:ilvl w:val="0"/>
          <w:numId w:val="10"/>
        </w:numPr>
      </w:pPr>
      <w:r>
        <w:t>Create and confirm a password of 12–72 bytes containing letters and numbers. Ordinary English letters, numbers and symbols avoid ambiguity about byte length.</w:t>
      </w:r>
    </w:p>
    <w:p>
      <w:pPr>
        <w:pStyle w:val="ListNumber"/>
        <w:numPr>
          <w:ilvl w:val="0"/>
          <w:numId w:val="10"/>
        </w:numPr>
      </w:pPr>
      <w:r>
        <w:t>Read the privacy notice, confirm the declaration and submit.</w:t>
      </w:r>
    </w:p>
    <w:p>
      <w:pPr>
        <w:pStyle w:val="ListNumber"/>
        <w:numPr>
          <w:ilvl w:val="0"/>
          <w:numId w:val="10"/>
        </w:numPr>
      </w:pPr>
      <w:r>
        <w:t>The portal opens your citizen dashboard. If email is configured, open the verification message and choose Verify email address.</w:t>
      </w:r>
    </w:p>
    <w:p>
      <w:pPr>
        <w:jc w:val="both"/>
      </w:pPr>
      <w:r>
        <w:t>You do not select a staff role during registration. Only an authorised administrator creates or assigns staff access. Email verification confirms the address used for notices and account recovery; it does not verify your legal identity.</w:t>
      </w:r>
    </w:p>
    <w:p>
      <w:bookmarkStart w:id="78" w:name="h_5"/>
      <w:pPr>
        <w:pStyle w:val="Heading2"/>
        <w:keepNext/>
      </w:pPr>
      <w:r>
        <w:rPr>
          <w:color w:val="000000"/>
        </w:rPr>
        <w:t>1.2 Sign in and recover access</w:t>
      </w:r>
      <w:bookmarkEnd w:id="78"/>
    </w:p>
    <w:p>
      <w:pPr>
        <w:jc w:val="both"/>
      </w:pPr>
      <w:r>
        <w:t>Use Sign in on later visits. Enter the registered email and password. If two-factor login is enabled, complete the authenticator or recovery-code step. After 30 minutes of inactivity you may need to sign in again. Use Forgot password to request a one-hour reset link. A reset link works once and does not disable two-factor authentication. If no email arrives, check your mailbox filters and use the operator’s published support contact.</w:t>
      </w:r>
    </w:p>
    <w:p>
      <w:bookmarkStart w:id="79" w:name="h_7"/>
      <w:pPr>
        <w:pStyle w:val="Heading1"/>
        <w:keepNext/>
      </w:pPr>
      <w:r>
        <w:rPr>
          <w:color w:val="000000"/>
        </w:rPr>
        <w:t>2 Find the correct service</w:t>
      </w:r>
      <w:bookmarkEnd w:id="79"/>
    </w:p>
    <w:p>
      <w:pPr>
        <w:jc w:val="both"/>
      </w:pPr>
      <w:r>
        <w:t>Open Service directory. Search by the issue or service name and use the type or department filters. Open the service to read its description, required information, published fee and target in calendar hours. A target is the configured service commitment shown by the operator. Fees are informational; this release does not collect payment.</w:t>
      </w:r>
    </w:p>
    <w:p>
      <w:bookmarkStart w:id="80" w:name="h_9"/>
      <w:pPr>
        <w:pStyle w:val="Heading1"/>
        <w:keepNext/>
      </w:pPr>
      <w:r>
        <w:rPr>
          <w:color w:val="000000"/>
        </w:rPr>
        <w:t>3 Submit a complaint</w:t>
      </w:r>
      <w:bookmarkEnd w:id="80"/>
    </w:p>
    <w:p>
      <w:pPr>
        <w:pStyle w:val="ListNumber"/>
        <w:numPr>
          <w:ilvl w:val="0"/>
          <w:numId w:val="11"/>
        </w:numPr>
      </w:pPr>
      <w:r>
        <w:t>Select the complaint service and choose Start request. Sign in if requested.</w:t>
      </w:r>
    </w:p>
    <w:p>
      <w:pPr>
        <w:pStyle w:val="ListNumber"/>
        <w:numPr>
          <w:ilvl w:val="0"/>
          <w:numId w:val="11"/>
        </w:numPr>
      </w:pPr>
      <w:r>
        <w:t>Enter a clear subject and explain what happened, where it happened and what response you are requesting.</w:t>
      </w:r>
    </w:p>
    <w:p>
      <w:pPr>
        <w:pStyle w:val="ListNumber"/>
        <w:numPr>
          <w:ilvl w:val="0"/>
          <w:numId w:val="11"/>
        </w:numPr>
      </w:pPr>
      <w:r>
        <w:t>Complete the location, state and priority fields. Add an organisation or business name when relevant.</w:t>
      </w:r>
    </w:p>
    <w:p>
      <w:pPr>
        <w:pStyle w:val="ListNumber"/>
        <w:numPr>
          <w:ilvl w:val="0"/>
          <w:numId w:val="11"/>
        </w:numPr>
      </w:pPr>
      <w:r>
        <w:t>Attach useful evidence if available. Avoid passwords or unnecessary sensitive information.</w:t>
      </w:r>
    </w:p>
    <w:p>
      <w:pPr>
        <w:pStyle w:val="ListNumber"/>
        <w:numPr>
          <w:ilvl w:val="0"/>
          <w:numId w:val="11"/>
        </w:numPr>
      </w:pPr>
      <w:r>
        <w:t>Confirm that the information is accurate and choose Submit request.</w:t>
      </w:r>
    </w:p>
    <w:p>
      <w:pPr>
        <w:pStyle w:val="ListNumber"/>
        <w:numPr>
          <w:ilvl w:val="0"/>
          <w:numId w:val="11"/>
        </w:numPr>
      </w:pPr>
      <w:r>
        <w:t>Read the recorded request page and retain the reference and private tracking code. Use Request receipt to print or save the record.</w:t>
      </w:r>
    </w:p>
    <w:p>
      <w:pPr>
        <w:jc w:val="both"/>
      </w:pPr>
      <w:r>
        <w:t>Choose Save draft if you are not ready to send the request. Complete the form’s required basic fields before saving. A draft stays private and has no review target or assigned officer. Open it from My requests and choose Complete draft to edit and submit.</w:t>
      </w:r>
    </w:p>
    <w:p>
      <w:bookmarkStart w:id="81" w:name="h_12"/>
      <w:pPr>
        <w:pStyle w:val="Heading1"/>
        <w:keepNext/>
      </w:pPr>
      <w:r>
        <w:rPr>
          <w:color w:val="000000"/>
        </w:rPr>
        <w:t>4 Apply for a permit</w:t>
      </w:r>
      <w:bookmarkEnd w:id="81"/>
    </w:p>
    <w:p>
      <w:pPr>
        <w:jc w:val="both"/>
      </w:pPr>
      <w:r>
        <w:t>Select a permit or licence and read the listed evidence requirements before starting. Enter the application details, attach the supporting documents and submit. A permit with supporting requirements needs at least one attachment, although the officer may ask for further evidence if the submitted documents are insufficient. The department records approval or rejection after review.</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Upload rule</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Limit</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Accepted formats</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PDF, JPEG or PNG, checked by actual MIME type.</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Each file</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Up to 5 MB.</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One upload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Up to three documents.</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One request</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Up to 20 retained documents.</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Your total uploaded storage</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Up to 100 MB in this release.</w:t>
            </w:r>
          </w:p>
        </w:tc>
      </w:tr>
    </w:tbl>
    <w:p>
      <w:pPr>
        <w:spacing w:after="60"/>
      </w:pPr>
    </w:p>
    <w:p>
      <w:pPr>
        <w:jc w:val="both"/>
      </w:pPr>
      <w:r>
        <w:t>After approval, choose View approval to print or save the application approval record. Its verification address confirms the record held by the portal without showing your applicant details. Demonstration records are labelled as having no legal effect. The issuing authority determines any conditions or official effect of an operational approval.</w:t>
      </w:r>
    </w:p>
    <w:p>
      <w:bookmarkStart w:id="82" w:name="h_16"/>
      <w:pPr>
        <w:pStyle w:val="Heading1"/>
        <w:keepNext/>
      </w:pPr>
      <w:r>
        <w:rPr>
          <w:color w:val="000000"/>
        </w:rPr>
        <w:t>5 Progress and communication</w:t>
      </w:r>
      <w:bookmarkEnd w:id="82"/>
    </w:p>
    <w:p>
      <w:bookmarkStart w:id="83" w:name="h_17"/>
      <w:pPr>
        <w:pStyle w:val="Heading2"/>
        <w:keepNext/>
      </w:pPr>
      <w:r>
        <w:rPr>
          <w:color w:val="000000"/>
        </w:rPr>
        <w:t>5.1 My requests</w:t>
      </w:r>
      <w:bookmarkEnd w:id="83"/>
    </w:p>
    <w:p>
      <w:pPr>
        <w:jc w:val="both"/>
      </w:pPr>
      <w:r>
        <w:t>My requests lists the records belonging to your account. Search by subject or reference, filter by type or status and use the page controls. Open a request to see the assigned department, officer where available, target, documents and history.</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Status</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Meaning and next step</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Draft</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Saved privately. Complete and submit when ready.</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Submitted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Received and routed. Await review or withdraw if no longer needed.</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 review</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The officer is examining the request. Read any new messages.</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Needs information</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Open the request, read the officer’s question and reply with the required details.</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Approved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Permit approval recorded. View the approval record.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Resolved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Complaint recorded as resolved. Rate the service or reopen if the issue persists.</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Rejected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Read the recorded reason and any instructions from the department.</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Withdrawn</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The request has been withdrawn and is closed.</w:t>
            </w:r>
          </w:p>
        </w:tc>
      </w:tr>
    </w:tbl>
    <w:p>
      <w:pPr>
        <w:spacing w:after="60"/>
      </w:pPr>
    </w:p>
    <w:p>
      <w:bookmarkStart w:id="84" w:name="h_20"/>
      <w:pPr>
        <w:pStyle w:val="Heading2"/>
        <w:keepNext/>
      </w:pPr>
      <w:r>
        <w:rPr>
          <w:color w:val="000000"/>
        </w:rPr>
        <w:t>5.2 Reply and supporting evidence</w:t>
      </w:r>
      <w:bookmarkEnd w:id="84"/>
    </w:p>
    <w:p>
      <w:pPr>
        <w:jc w:val="both"/>
      </w:pPr>
      <w:r>
        <w:t>Use Conversation on an open submitted request to send a message and attach further evidence. A reply to Needs information returns the record to Submitted for further review. Ordinary replies are not accepted on a draft or closed request. The target continues while information is awaited. Staff-only notes and their attachments are not visible in your account.</w:t>
      </w:r>
    </w:p>
    <w:p>
      <w:bookmarkStart w:id="85" w:name="h_22"/>
      <w:pPr>
        <w:pStyle w:val="Heading2"/>
        <w:keepNext/>
      </w:pPr>
      <w:r>
        <w:rPr>
          <w:color w:val="000000"/>
        </w:rPr>
        <w:t>5.3 Withdrawal feedback and reopening</w:t>
      </w:r>
      <w:bookmarkEnd w:id="85"/>
    </w:p>
    <w:p>
      <w:pPr>
        <w:jc w:val="both"/>
      </w:pPr>
      <w:r>
        <w:t>The owner can withdraw a Draft, Submitted or Needs information request by entering a reason. A request already In review cannot be withdrawn through this control. After approval, resolution or rejection you may submit one rating and comment. A resolved complaint can reopen with an explanation; the department receives a fresh target and your old feedback clears. Permit decisions do not use the complaint-reopening control.</w:t>
      </w:r>
    </w:p>
    <w:p>
      <w:bookmarkStart w:id="86" w:name="h_24"/>
      <w:pPr>
        <w:pStyle w:val="Heading2"/>
        <w:keepNext/>
      </w:pPr>
      <w:r>
        <w:rPr>
          <w:color w:val="000000"/>
        </w:rPr>
        <w:t>5.4 Tracking without signing in</w:t>
      </w:r>
      <w:bookmarkEnd w:id="86"/>
    </w:p>
    <w:p>
      <w:pPr>
        <w:jc w:val="both"/>
      </w:pPr>
      <w:r>
        <w:t>Open Track a request and enter both the reference and private code from your request page or receipt. The tracker shows limited status progress for ten minutes. It excludes personal details, message text and attachments. A reference alone is insufficient. Sign in for the complete record and never publish the private code.</w:t>
      </w:r>
    </w:p>
    <w:p>
      <w:bookmarkStart w:id="87" w:name="h_26"/>
      <w:pPr>
        <w:pStyle w:val="Heading1"/>
        <w:keepNext/>
      </w:pPr>
      <w:r>
        <w:rPr>
          <w:color w:val="000000"/>
        </w:rPr>
        <w:t>6 Notifications assistance and profile</w:t>
      </w:r>
      <w:bookmarkEnd w:id="87"/>
    </w:p>
    <w:p>
      <w:pPr>
        <w:jc w:val="both"/>
      </w:pPr>
      <w:r>
        <w:t>Notifications keeps in-app updates even if external delivery is disabled. Choose Mark all read when you have reviewed them. Profile lets you change your name and phone and select routine email or SMS notices. External delivery depends on the operator’s configured channels. Request a login-email change through an authorised administrator.</w:t>
      </w:r>
    </w:p>
    <w:p>
      <w:pPr>
        <w:jc w:val="both"/>
      </w:pPr>
      <w:r>
        <w:t>The Citizen assistant offers guidance about published services, evidence and tracking. The local Service guide works without an AI connection. If AI is available, the screen identifies that option and lets you choose whether to use it. Avoid sending private documents, identity numbers, passwords or payment credentials in a question. For your individual application, use the request conversation and the officer’s recorded decision.</w:t>
      </w:r>
    </w:p>
    <w:p>
      <w:bookmarkStart w:id="88" w:name="h_29"/>
      <w:pPr>
        <w:pStyle w:val="Heading1"/>
        <w:keepNext/>
      </w:pPr>
      <w:r>
        <w:rPr>
          <w:color w:val="000000"/>
        </w:rPr>
        <w:t>7 Account security</w:t>
      </w:r>
      <w:bookmarkEnd w:id="88"/>
    </w:p>
    <w:p>
      <w:pPr>
        <w:pStyle w:val="ListNumber"/>
        <w:numPr>
          <w:ilvl w:val="0"/>
          <w:numId w:val="12"/>
        </w:numPr>
      </w:pPr>
      <w:r>
        <w:t>Open Account security and add the displayed setup key to a time-based authenticator app, or use the authenticator link on your phone.</w:t>
      </w:r>
    </w:p>
    <w:p>
      <w:pPr>
        <w:pStyle w:val="ListNumber"/>
        <w:numPr>
          <w:ilvl w:val="0"/>
          <w:numId w:val="12"/>
        </w:numPr>
      </w:pPr>
      <w:r>
        <w:t>Enter your current password and a current six-digit code to enable two-factor login.</w:t>
      </w:r>
    </w:p>
    <w:p>
      <w:pPr>
        <w:pStyle w:val="ListNumber"/>
        <w:numPr>
          <w:ilvl w:val="0"/>
          <w:numId w:val="12"/>
        </w:numPr>
      </w:pPr>
      <w:r>
        <w:t>Save the eight recovery codes immediately. Each works once and they are not displayed again.</w:t>
      </w:r>
    </w:p>
    <w:p>
      <w:pPr>
        <w:pStyle w:val="ListNumber"/>
        <w:numPr>
          <w:ilvl w:val="0"/>
          <w:numId w:val="12"/>
        </w:numPr>
      </w:pPr>
      <w:r>
        <w:t>Review Signed-in devices and revoke another device if you no longer trust that session.</w:t>
      </w:r>
    </w:p>
    <w:p>
      <w:pPr>
        <w:pStyle w:val="ListNumber"/>
        <w:numPr>
          <w:ilvl w:val="0"/>
          <w:numId w:val="12"/>
        </w:numPr>
      </w:pPr>
      <w:r>
        <w:t>Use Profile to change your password when needed. Other signed-in sessions are revoked after the change.</w:t>
      </w:r>
    </w:p>
    <w:p>
      <w:pPr>
        <w:jc w:val="both"/>
      </w:pPr>
      <w:r>
        <w:t>Keep your device clock accurate. If you lose the authenticator, use an unused recovery code. If both the authenticator and all recovery codes are lost, contact the operator through its controlled recovery procedure. Do not ask another citizen to sign in for you.</w:t>
      </w:r>
    </w:p>
    <w:p>
      <w:bookmarkStart w:id="89" w:name="h_32"/>
      <w:pPr>
        <w:pStyle w:val="Heading1"/>
        <w:keepNext/>
      </w:pPr>
      <w:r>
        <w:rPr>
          <w:color w:val="000000"/>
        </w:rPr>
        <w:t>8 Common issues</w:t>
      </w:r>
      <w:bookmarkEnd w:id="89"/>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Issue</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Action</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Request form expired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Reload a fresh form before submitting again. Check My requests first to avoid a duplicate.</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File rejected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Check actual format, size, number of files and your storage allowance. A renamed executable is not a PDF.</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No email or SMS</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Read the in-app update and check preferences. Contact support if the configured channel still does not deliver.</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Tracking fails</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Check both the full reference and private code. Use the owner account for full access.</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Request is overdue</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Read the target and history. The scheduled workflow records escalation; use the request thread for follow-up.</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Another update occurred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Reload the request before submitting the next action.</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Login or authenticator fails</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Check credentials and device time. Use recovery or the published support process.</w:t>
            </w:r>
          </w:p>
        </w:tc>
      </w:tr>
    </w:tbl>
    <w:p>
      <w:pPr>
        <w:spacing w:after="60"/>
      </w:pPr>
    </w:p>
    <w:p>
      <w:pPr>
        <w:pStyle w:val="Heading1"/>
        <w:keepNext/>
      </w:pPr>
      <w:r>
        <w:rPr>
          <w:color w:val="000000"/>
        </w:rPr>
        <w:t>9 Public landing page and accessibility controls</w:t>
      </w:r>
    </w:p>
    <w:p>
      <w:r>
        <w:t>Open the portal home page to find services before signing in. Use the search form to narrow the service list. Select a service to read its department, requirements, published fee where applicable and configured processing target. The landing page also links to departments, notices, FAQs and private-code tracking.</w:t>
      </w:r>
    </w:p>
    <w:p>
      <w:r>
        <w:t>Use Previous, Next or a slide selector to change the displayed image. Use Pause to stop automatic rotation. Rotation also stops while the slider has keyboard focus or the pointer is over it, and when your device requests reduced motion. If browser scripts are disabled, use the first image and the normal service and tracking forms.</w:t>
      </w:r>
    </w:p>
    <w:p>
      <w:r>
        <w:t>Keep your reference and private tracking code together and share them only with an authorised helper. Public tracking gives limited progress. Sign in for your full request history and private attachments. The AI option gives guidance from public service information and cannot decide your application.</w:t>
      </w:r>
    </w:p>
    <w:sectPr w:rsidR="00FC693F" w:rsidRPr="0006063C" w:rsidSect="00034616">
      <w:footerReference w:type="default" r:id="rId9"/>
      <w:pgSz w:w="12240" w:h="15840"/>
      <w:pgMar w:top="1224" w:right="1440" w:bottom="1224" w:left="180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200" w:after="14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00"/>
      <w:contextualSpacing/>
    </w:pPr>
    <w:rPr>
      <w:rFonts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before="200"/>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300" w:lineRule="auto"/>
      <w:contextualSpacing/>
    </w:pPr>
    <w:rPr>
      <w:rFonts w:ascii="Times New Roman" w:hAnsi="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300" w:lineRule="auto"/>
      <w:contextualSpacing/>
    </w:pPr>
    <w:rPr>
      <w:rFonts w:ascii="Times New Roman" w:hAnsi="Times New Roman" w:eastAsia="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Citizen User Manual</dc:title>
  <dc:subject/>
  <dc:creator>Group 1</dc:creator>
  <cp:keywords/>
  <dc:description>generated by python-docx</dc:description>
  <cp:lastModifiedBy>Group 1</cp:lastModifiedBy>
  <cp:revision>1</cp:revision>
  <dcterms:created xsi:type="dcterms:W3CDTF">2026-10-19T12:00:00Z</dcterms:created>
  <dcterms:modified xsi:type="dcterms:W3CDTF">2026-10-19T12:00:00Z</dcterms:modified>
  <cp:category/>
  <cp:version>1.1</cp:version>
</cp:coreProperties>
</file>