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4AD35">
      <w:pPr>
        <w:rPr>
          <w:rFonts w:hint="eastAsia"/>
        </w:rPr>
      </w:pPr>
      <w:r>
        <w:rPr>
          <w:rFonts w:hint="eastAsia"/>
        </w:rPr>
        <w:t>基于 CC200 脑区时间序列，研究时序建模与图注意力的互补作用，并重点检验它们能否提高 ASD 分类在未见过的扫描站点上的泛化能力。</w:t>
      </w:r>
    </w:p>
    <w:p w14:paraId="105C48F5">
      <w:pPr>
        <w:rPr>
          <w:rFonts w:hint="eastAsia"/>
        </w:rPr>
      </w:pPr>
    </w:p>
    <w:p w14:paraId="15D930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即：这个模型我们训练好之后，他是否在下一个站点也可以有泛化能力，这个模型学到的是病症本身，还是站点不同的差异导致的站点捷径？</w:t>
      </w:r>
    </w:p>
    <w:p w14:paraId="5492B7F7">
      <w:pPr>
        <w:rPr>
          <w:rFonts w:hint="eastAsia"/>
        </w:rPr>
      </w:pPr>
    </w:p>
    <w:p w14:paraId="2793F517">
      <w:pPr>
        <w:rPr>
          <w:rFonts w:hint="eastAsia"/>
        </w:rPr>
      </w:pPr>
      <w:r>
        <w:rPr>
          <w:rFonts w:hint="eastAsia"/>
        </w:rPr>
        <w:t>这比单纯追求分类准确率更有研究价值，因为你要回答的不只是“模型能不能识别 ASD”，还要回答“模型学到的是与 ASD 有关的脑功能模式，还是扫描设备、采集协议和站点差异带来的模式”。</w:t>
      </w:r>
    </w:p>
    <w:p w14:paraId="0C4EAE4E">
      <w:pPr>
        <w:rPr>
          <w:rFonts w:hint="eastAsia"/>
        </w:rPr>
      </w:pPr>
    </w:p>
    <w:p w14:paraId="40AD6DAC">
      <w:pPr>
        <w:rPr>
          <w:rFonts w:hint="eastAsia"/>
        </w:rPr>
      </w:pPr>
      <w:r>
        <w:rPr>
          <w:rFonts w:hint="eastAsia"/>
        </w:rPr>
        <w:t>不过，开展实验之前有一个重要发现：Mamba 用于多站点脑功能 MRI 分类已经有直接相关研究。 2025 年发表的 MSC-Mamba 已经使用 ABIDE 数据研究 ASD 分类；另一项 2025 年的研究也探索了 Transformer 与 Mamba 的组合。因此，不能简单把“Mamba + 图神经网络”本身当作创新点。你的研究应进一步聚焦于严格的跨站点验证、时序与空间信息的互补机制，以及在统一实验条件下对不同组合的系统比较。</w:t>
      </w:r>
    </w:p>
    <w:p w14:paraId="089A4BDA">
      <w:pPr>
        <w:rPr>
          <w:rFonts w:hint="eastAsia"/>
        </w:rPr>
      </w:pPr>
    </w:p>
    <w:p w14:paraId="0710D83A">
      <w:pPr>
        <w:pStyle w:val="2"/>
        <w:keepNext w:val="0"/>
        <w:keepLines w:val="0"/>
        <w:widowControl/>
        <w:suppressLineNumbers w:val="0"/>
      </w:pPr>
      <w:r>
        <w:t>1. 先建立五组核心对照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300"/>
        <w:gridCol w:w="3915"/>
      </w:tblGrid>
      <w:tr w14:paraId="1AD69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3E6BE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3BE687B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71B4FC4D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主要回答的问题</w:t>
            </w:r>
          </w:p>
        </w:tc>
      </w:tr>
      <w:tr w14:paraId="510C5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4FAB4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B0</w:t>
            </w:r>
          </w:p>
        </w:tc>
        <w:tc>
          <w:tcPr>
            <w:tcW w:w="0" w:type="auto"/>
            <w:shd w:val="clear"/>
            <w:vAlign w:val="center"/>
          </w:tcPr>
          <w:p w14:paraId="3CA41B62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传统机器学习 + 静态功能连接</w:t>
            </w:r>
          </w:p>
        </w:tc>
        <w:tc>
          <w:tcPr>
            <w:tcW w:w="0" w:type="auto"/>
            <w:shd w:val="clear"/>
            <w:vAlign w:val="center"/>
          </w:tcPr>
          <w:p w14:paraId="41465E95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基础表现到底有多好？</w:t>
            </w:r>
          </w:p>
        </w:tc>
      </w:tr>
      <w:tr w14:paraId="7B10F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977A3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B1</w:t>
            </w:r>
          </w:p>
        </w:tc>
        <w:tc>
          <w:tcPr>
            <w:tcW w:w="0" w:type="auto"/>
            <w:shd w:val="clear"/>
            <w:vAlign w:val="center"/>
          </w:tcPr>
          <w:p w14:paraId="52A1BA6D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GAT 图模型</w:t>
            </w:r>
          </w:p>
        </w:tc>
        <w:tc>
          <w:tcPr>
            <w:tcW w:w="0" w:type="auto"/>
            <w:shd w:val="clear"/>
            <w:vAlign w:val="center"/>
          </w:tcPr>
          <w:p w14:paraId="760EDC40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仅建模脑区关系能做到什么程度？</w:t>
            </w:r>
          </w:p>
        </w:tc>
      </w:tr>
      <w:tr w14:paraId="59191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0DDF4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B2</w:t>
            </w:r>
          </w:p>
        </w:tc>
        <w:tc>
          <w:tcPr>
            <w:tcW w:w="0" w:type="auto"/>
            <w:shd w:val="clear"/>
            <w:vAlign w:val="center"/>
          </w:tcPr>
          <w:p w14:paraId="269E99F4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GRU 或 TCN 时序模型</w:t>
            </w:r>
          </w:p>
        </w:tc>
        <w:tc>
          <w:tcPr>
            <w:tcW w:w="0" w:type="auto"/>
            <w:shd w:val="clear"/>
            <w:vAlign w:val="center"/>
          </w:tcPr>
          <w:p w14:paraId="498FFA19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只学习时间动态有何效果？</w:t>
            </w:r>
          </w:p>
        </w:tc>
      </w:tr>
      <w:tr w14:paraId="4B18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4D6DE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B3</w:t>
            </w:r>
          </w:p>
        </w:tc>
        <w:tc>
          <w:tcPr>
            <w:tcW w:w="0" w:type="auto"/>
            <w:shd w:val="clear"/>
            <w:vAlign w:val="center"/>
          </w:tcPr>
          <w:p w14:paraId="3E5956F4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Mamba 时序模型</w:t>
            </w:r>
          </w:p>
        </w:tc>
        <w:tc>
          <w:tcPr>
            <w:tcW w:w="0" w:type="auto"/>
            <w:shd w:val="clear"/>
            <w:vAlign w:val="center"/>
          </w:tcPr>
          <w:p w14:paraId="06C7B761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Mamba 是否优于常规时序模型？</w:t>
            </w:r>
          </w:p>
        </w:tc>
      </w:tr>
      <w:tr w14:paraId="39634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16015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B4</w:t>
            </w:r>
          </w:p>
        </w:tc>
        <w:tc>
          <w:tcPr>
            <w:tcW w:w="0" w:type="auto"/>
            <w:shd w:val="clear"/>
            <w:vAlign w:val="center"/>
          </w:tcPr>
          <w:p w14:paraId="234A1308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Mamba + GAT</w:t>
            </w:r>
          </w:p>
        </w:tc>
        <w:tc>
          <w:tcPr>
            <w:tcW w:w="0" w:type="auto"/>
            <w:shd w:val="clear"/>
            <w:vAlign w:val="center"/>
          </w:tcPr>
          <w:p w14:paraId="568FD636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两类信息结合后是否产生额外收益？</w:t>
            </w:r>
          </w:p>
        </w:tc>
      </w:tr>
    </w:tbl>
    <w:p w14:paraId="2A224990">
      <w:pPr>
        <w:rPr>
          <w:rFonts w:hint="eastAsia" w:eastAsiaTheme="minorEastAsia"/>
          <w:lang w:val="en-US" w:eastAsia="zh-CN"/>
        </w:rPr>
      </w:pPr>
    </w:p>
    <w:p w14:paraId="7BB2FD48">
      <w:pPr>
        <w:pStyle w:val="2"/>
        <w:keepNext w:val="0"/>
        <w:keepLines w:val="0"/>
        <w:widowControl/>
        <w:suppressLineNumbers w:val="0"/>
      </w:pPr>
      <w:r>
        <w:t>2. 主要评价方案：留一站点交叉验证（LOSO）</w:t>
      </w:r>
    </w:p>
    <w:p w14:paraId="24B6EFB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ABIDE-I 包含来自多个站点的参与者，站点之间存在成像设备、采集协议和人群构成差异。既有研究已经证实，多站点 ASD 分类可能存在显著的站点间性能波动。</w:t>
      </w:r>
    </w:p>
    <w:p w14:paraId="6A268E8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这里有几个必须遵守的规则。</w:t>
      </w:r>
    </w:p>
    <w:p w14:paraId="7D7F0FE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第一，测试站点不能参与模型选择。 例如，不能看到某个站点的测试效果不好后，针对该站点反复调整超参数，再把调整后的结果当作独立测试成绩。</w:t>
      </w:r>
    </w:p>
    <w:p w14:paraId="7070F6B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第二，所有数据处理都要避免泄漏。 标准化参数、特征筛选、降维及任何依赖数据分布的处理，都要在各折的训练数据上拟合，再应用于测试数据。</w:t>
      </w:r>
    </w:p>
    <w:p w14:paraId="3F2DB31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第三，谨慎处理站点校正。 ComBat 等协调化方法可能有助于降低站点差异，相关研究已经在 ABIDE 上进行了验证。</w:t>
      </w:r>
    </w:p>
    <w:p w14:paraId="5D3AFFD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但普通 ComBat 对未见过的站点如何估计校正参数，需要单独设计。如果直接用全部数据做校正后再划分，或者利用测试标签，会污染评估。建议第一轮以不做 ComBat 的方案作为基准，之后再研究符合跨站点测试条件的校正方案，并明确是否使用了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测试站点的无标签数据进行适配。</w:t>
      </w:r>
    </w:p>
    <w:p w14:paraId="24CFA5C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第四，先检查每个站点的类别分布。 如果某个测试站点只有 ASD 或只有对照组，AUC 就无法正常计算。应预先确定处理规则，并单独报告这类站点，而不是事后修改评价方案。</w:t>
      </w:r>
    </w:p>
    <w:p w14:paraId="2BDCBC30">
      <w:pPr>
        <w:pStyle w:val="2"/>
        <w:keepNext w:val="0"/>
        <w:keepLines w:val="0"/>
        <w:widowControl/>
        <w:suppressLineNumbers w:val="0"/>
      </w:pPr>
      <w:r>
        <w:t>3. 评价指标怎么选？</w:t>
      </w:r>
    </w:p>
    <w:p w14:paraId="1E35B2F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建议预先确定一个主要指标和一组辅助指标。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3832"/>
      </w:tblGrid>
      <w:tr w14:paraId="35D5A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FE478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656F31B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研究用途</w:t>
            </w:r>
          </w:p>
        </w:tc>
      </w:tr>
      <w:tr w14:paraId="3C44B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D3346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站点宏平均 AUC</w:t>
            </w:r>
          </w:p>
        </w:tc>
        <w:tc>
          <w:tcPr>
            <w:tcW w:w="0" w:type="auto"/>
            <w:shd w:val="clear"/>
            <w:vAlign w:val="center"/>
          </w:tcPr>
          <w:p w14:paraId="602F8119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主要衡量分类区分能力</w:t>
            </w:r>
          </w:p>
        </w:tc>
      </w:tr>
      <w:tr w14:paraId="09D4D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1A437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站点宏平均平衡准确率</w:t>
            </w:r>
          </w:p>
        </w:tc>
        <w:tc>
          <w:tcPr>
            <w:tcW w:w="0" w:type="auto"/>
            <w:shd w:val="clear"/>
            <w:vAlign w:val="center"/>
          </w:tcPr>
          <w:p w14:paraId="135ED06A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降低类别不平衡带来的误导</w:t>
            </w:r>
          </w:p>
        </w:tc>
      </w:tr>
      <w:tr w14:paraId="205D0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82058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最差站点表现</w:t>
            </w:r>
          </w:p>
        </w:tc>
        <w:tc>
          <w:tcPr>
            <w:tcW w:w="0" w:type="auto"/>
            <w:shd w:val="clear"/>
            <w:vAlign w:val="center"/>
          </w:tcPr>
          <w:p w14:paraId="1F1AC2F7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检查模型是否在少数站点严重失效</w:t>
            </w:r>
          </w:p>
        </w:tc>
      </w:tr>
      <w:tr w14:paraId="6DC1E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D96D2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各站点表现的标准差</w:t>
            </w:r>
          </w:p>
        </w:tc>
        <w:tc>
          <w:tcPr>
            <w:tcW w:w="0" w:type="auto"/>
            <w:shd w:val="clear"/>
            <w:vAlign w:val="center"/>
          </w:tcPr>
          <w:p w14:paraId="029E681B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衡量跨站点性能波动</w:t>
            </w:r>
          </w:p>
        </w:tc>
      </w:tr>
      <w:tr w14:paraId="0B08C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0C208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敏感度、特异度</w:t>
            </w:r>
          </w:p>
        </w:tc>
        <w:tc>
          <w:tcPr>
            <w:tcW w:w="0" w:type="auto"/>
            <w:shd w:val="clear"/>
            <w:vAlign w:val="center"/>
          </w:tcPr>
          <w:p w14:paraId="4A34059B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分别观察 ASD 和对照组的识别情况</w:t>
            </w:r>
          </w:p>
        </w:tc>
      </w:tr>
    </w:tbl>
    <w:p w14:paraId="2F5FEDD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AUC 是主要指标的建议以各站点均含两类标签为前提。如果实际数据分布不满足条件，就应根据审计结果重新确定主要指标，且在查看模型结果前固定方案。</w:t>
      </w:r>
    </w:p>
    <w:p w14:paraId="3EB1FCA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至少对多个随机种子重复训练，并保存每个站点、每个模型的预测结果。最终不仅要比较平均表现，还要分析站点级差异及估计的不确定性。</w:t>
      </w:r>
    </w:p>
    <w:p w14:paraId="4C3D6D98">
      <w:pPr>
        <w:rPr>
          <w:rFonts w:hint="eastAsia"/>
        </w:rPr>
      </w:pPr>
    </w:p>
    <w:p w14:paraId="24D0711D">
      <w:pPr>
        <w:rPr>
          <w:rFonts w:hint="eastAsia"/>
        </w:rPr>
      </w:pPr>
    </w:p>
    <w:p w14:paraId="3910BB4C">
      <w:pPr>
        <w:rPr>
          <w:rFonts w:hint="eastAsia"/>
        </w:rPr>
      </w:pPr>
    </w:p>
    <w:p w14:paraId="33854B34">
      <w:pPr>
        <w:rPr>
          <w:rFonts w:hint="eastAsia"/>
        </w:rPr>
      </w:pPr>
    </w:p>
    <w:p w14:paraId="38849480">
      <w:pPr>
        <w:rPr>
          <w:rFonts w:hint="eastAsia"/>
        </w:rPr>
      </w:pPr>
    </w:p>
    <w:p w14:paraId="54B8D2E4">
      <w:pPr>
        <w:rPr>
          <w:rFonts w:hint="eastAsia"/>
        </w:rPr>
      </w:pPr>
    </w:p>
    <w:p w14:paraId="4FF2F48E">
      <w:pPr>
        <w:rPr>
          <w:rFonts w:hint="eastAsia"/>
        </w:rPr>
      </w:pPr>
    </w:p>
    <w:p w14:paraId="4AC83D48">
      <w:pPr>
        <w:rPr>
          <w:rFonts w:hint="eastAsia"/>
        </w:rPr>
      </w:pPr>
    </w:p>
    <w:p w14:paraId="19D141F0">
      <w:pPr>
        <w:rPr>
          <w:rFonts w:hint="eastAsia"/>
        </w:rPr>
      </w:pPr>
    </w:p>
    <w:p w14:paraId="0B3176E1">
      <w:pPr>
        <w:rPr>
          <w:rFonts w:hint="eastAsia"/>
        </w:rPr>
      </w:pPr>
    </w:p>
    <w:p w14:paraId="407FE812">
      <w:pPr>
        <w:rPr>
          <w:rFonts w:hint="eastAsia"/>
        </w:rPr>
      </w:pPr>
    </w:p>
    <w:p w14:paraId="23EABED0">
      <w:pPr>
        <w:rPr>
          <w:rFonts w:hint="eastAsia"/>
        </w:rPr>
      </w:pPr>
    </w:p>
    <w:p w14:paraId="7D2B4B7C">
      <w:pPr>
        <w:rPr>
          <w:rFonts w:hint="eastAsia"/>
        </w:rPr>
      </w:pPr>
    </w:p>
    <w:p w14:paraId="4B664A9F">
      <w:pPr>
        <w:rPr>
          <w:rFonts w:hint="eastAsia"/>
        </w:rPr>
      </w:pPr>
    </w:p>
    <w:p w14:paraId="68786870">
      <w:pPr>
        <w:rPr>
          <w:rFonts w:hint="eastAsia"/>
        </w:rPr>
      </w:pPr>
    </w:p>
    <w:p w14:paraId="3138E389">
      <w:pPr>
        <w:rPr>
          <w:rFonts w:hint="eastAsia"/>
        </w:rPr>
      </w:pPr>
    </w:p>
    <w:p w14:paraId="75A8399C">
      <w:pPr>
        <w:rPr>
          <w:rFonts w:hint="eastAsia"/>
        </w:rPr>
      </w:pPr>
    </w:p>
    <w:p w14:paraId="025EE616">
      <w:pPr>
        <w:rPr>
          <w:rFonts w:hint="eastAsia"/>
        </w:rPr>
      </w:pPr>
    </w:p>
    <w:p w14:paraId="2BA96A8A">
      <w:pPr>
        <w:rPr>
          <w:rFonts w:hint="eastAsia"/>
        </w:rPr>
      </w:pPr>
    </w:p>
    <w:p w14:paraId="26B5693A">
      <w:pPr>
        <w:rPr>
          <w:rFonts w:hint="eastAsia"/>
        </w:rPr>
      </w:pPr>
    </w:p>
    <w:p w14:paraId="758FD3B1">
      <w:pPr>
        <w:rPr>
          <w:rFonts w:hint="eastAsia"/>
        </w:rPr>
      </w:pPr>
    </w:p>
    <w:p w14:paraId="6354F5F7">
      <w:pPr>
        <w:rPr>
          <w:rFonts w:hint="eastAsia"/>
        </w:rPr>
      </w:pPr>
    </w:p>
    <w:p w14:paraId="1982607D">
      <w:pPr>
        <w:rPr>
          <w:rFonts w:hint="eastAsia"/>
        </w:rPr>
      </w:pPr>
    </w:p>
    <w:p w14:paraId="4EBF91F2">
      <w:pPr>
        <w:rPr>
          <w:rFonts w:hint="eastAsia"/>
        </w:rPr>
      </w:pPr>
    </w:p>
    <w:p w14:paraId="5E2295F8">
      <w:pPr>
        <w:rPr>
          <w:rFonts w:hint="eastAsia"/>
        </w:rPr>
      </w:pPr>
    </w:p>
    <w:p w14:paraId="30FC1A39">
      <w:pPr>
        <w:rPr>
          <w:rFonts w:hint="eastAsia"/>
        </w:rPr>
      </w:pPr>
    </w:p>
    <w:p w14:paraId="4431BC67">
      <w:pPr>
        <w:rPr>
          <w:rFonts w:hint="eastAsia"/>
        </w:rPr>
      </w:pPr>
    </w:p>
    <w:p w14:paraId="2EA28034">
      <w:pPr>
        <w:rPr>
          <w:rFonts w:hint="eastAsia"/>
        </w:rPr>
      </w:pPr>
    </w:p>
    <w:p w14:paraId="15DD3C65">
      <w:pPr>
        <w:rPr>
          <w:rFonts w:hint="eastAsia"/>
        </w:rPr>
      </w:pPr>
    </w:p>
    <w:p w14:paraId="4C31A832">
      <w:pPr>
        <w:rPr>
          <w:rFonts w:hint="eastAsia"/>
        </w:rPr>
      </w:pPr>
    </w:p>
    <w:p w14:paraId="43F023D7">
      <w:pPr>
        <w:rPr>
          <w:rFonts w:hint="eastAsia"/>
        </w:rPr>
      </w:pPr>
    </w:p>
    <w:p w14:paraId="60516E4E">
      <w:pPr>
        <w:rPr>
          <w:rFonts w:hint="eastAsia"/>
        </w:rPr>
      </w:pPr>
    </w:p>
    <w:p w14:paraId="37ECDB2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915D5"/>
    <w:rsid w:val="4CA7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2026-10-13T03:07:30Z</dcterms:created>
  <dc:creator>28439</dc:creator>
  <cp:lastModifiedBy>♥ྀི</cp:lastModifiedBy>
  <dcterms:modified xsi:type="dcterms:W3CDTF">2026-10-13T03:31:38Z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eyJoZGlkIjoiYjBjYjFkNWQ0YjEyNDc3ZDY1NzNlODEwNDM1NDk5N2QiLCJ1c2VySWQiOiIzMTEzOTIwODkifQ==</vt:lpwstr>
  </property>
  <property fmtid="{D5CDD505-2E9C-101B-9397-08002B2CF9AE}" pid="4" name="ICV">
    <vt:lpwstr>9AA9ED9D138A4371965D6081B62F5C20_12</vt:lpwstr>
  </property>
</Properties>
</file>