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4"/>
        </w:rPr>
        <w:t>CA-ISO 电价价差预测 · 工程报告</w:t>
      </w:r>
    </w:p>
    <w:p>
      <w:pPr>
        <w:spacing w:after="32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2026-08-07 ｜ 全流程：数据对齐 → 特征工程 → 方向分类建模 → 业务评估 → Flask 网页交付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1. 项目背景与业务目标</w:t>
      </w: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/>
          <w:sz w:val="24"/>
        </w:rPr>
        <w:t>业务</w:t>
      </w:r>
      <w:r>
        <w:rPr>
          <w:rFonts w:ascii="Times New Roman" w:hAnsi="Times New Roman" w:eastAsia="宋体"/>
          <w:b w:val="0"/>
          <w:sz w:val="24"/>
        </w:rPr>
        <w:t xml:space="preserve">：加州电力市场（CA-ISO）价差套利。交易规则：T-1 日在日前市场（DA）买卖 1 度电，T 日在实时市场（RTPD）反向平仓，赚取 </w:t>
      </w:r>
      <w:r>
        <w:rPr>
          <w:rFonts w:ascii="Times New Roman" w:hAnsi="Times New Roman" w:eastAsia="宋体"/>
          <w:b/>
          <w:sz w:val="24"/>
        </w:rPr>
        <w:t>价差 = DA − RTPD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 w:val="0"/>
          <w:sz w:val="24"/>
        </w:rPr>
        <w:t>价差为负（RTPD 更高）→ 日前买、实时卖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 w:val="0"/>
          <w:sz w:val="24"/>
        </w:rPr>
        <w:t>价差为正（DA 更高）→ 日前卖、实时买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 w:val="0"/>
          <w:sz w:val="24"/>
        </w:rPr>
        <w:t>把握不足 → 观望</w:t>
      </w: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/>
          <w:sz w:val="24"/>
        </w:rPr>
        <w:t>目标</w:t>
      </w:r>
      <w:r>
        <w:rPr>
          <w:rFonts w:ascii="Times New Roman" w:hAnsi="Times New Roman" w:eastAsia="宋体"/>
          <w:b w:val="0"/>
          <w:sz w:val="24"/>
        </w:rPr>
        <w:t>：预测次日（D+1）各节点、各小时的</w:t>
      </w:r>
      <w:r>
        <w:rPr>
          <w:rFonts w:ascii="Times New Roman" w:hAnsi="Times New Roman" w:eastAsia="宋体"/>
          <w:b/>
          <w:sz w:val="24"/>
        </w:rPr>
        <w:t>价差方向</w:t>
      </w:r>
      <w:r>
        <w:rPr>
          <w:rFonts w:ascii="Times New Roman" w:hAnsi="Times New Roman" w:eastAsia="宋体"/>
          <w:b w:val="0"/>
          <w:sz w:val="24"/>
        </w:rPr>
        <w:t>（并附带 DA/RTPD 价格曲线展示），据此给出买卖建议，交付本地网页（输入节点+日期 → 输出预测与建议）。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2. 数据概况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</w:t>
            </w:r>
          </w:p>
        </w:tc>
        <w:tc>
          <w:tcPr>
            <w:tcW w:type="dxa" w:w="2183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  <w:tc>
          <w:tcPr>
            <w:tcW w:type="dxa" w:w="2183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时间范围</w:t>
            </w:r>
          </w:p>
        </w:tc>
        <w:tc>
          <w:tcPr>
            <w:tcW w:type="dxa" w:w="2183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83"/>
          </w:tcPr>
          <w:p>
            <w:r>
              <w:rPr>
                <w:rFonts w:ascii="Consolas" w:hAnsi="Consolas" w:eastAsia="宋体"/>
                <w:b w:val="0"/>
                <w:sz w:val="21"/>
              </w:rPr>
              <w:t>价格数据/*.xlsx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 节点 DA / RTPD / 价差（$/MWh，逐小时）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2024-01 ~ 2026-08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目标变量来源（只用非 -c 文件）</w:t>
            </w:r>
          </w:p>
        </w:tc>
      </w:tr>
      <w:tr>
        <w:tc>
          <w:tcPr>
            <w:tcW w:type="dxa" w:w="2183"/>
          </w:tcPr>
          <w:p>
            <w:r>
              <w:rPr>
                <w:rFonts w:ascii="Consolas" w:hAnsi="Consolas" w:eastAsia="宋体"/>
                <w:b w:val="0"/>
                <w:sz w:val="21"/>
              </w:rPr>
              <w:t>load_CA_ISO_TAC_2DA.csv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官方日前负荷预测（系统级）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2025-10 ~ 2026-08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D+1 可直接使用的"未来已知"特征</w:t>
            </w:r>
          </w:p>
        </w:tc>
      </w:tr>
      <w:tr>
        <w:tc>
          <w:tcPr>
            <w:tcW w:type="dxa" w:w="2183"/>
          </w:tcPr>
          <w:p>
            <w:r>
              <w:rPr>
                <w:rFonts w:ascii="Consolas" w:hAnsi="Consolas" w:eastAsia="宋体"/>
                <w:b w:val="0"/>
                <w:sz w:val="21"/>
              </w:rPr>
              <w:t>load_CA_ISO_TAC_ACTUAL.csv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实际负荷（系统级）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2025-04 ~ 2026-08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仅作历史滞后特征</w:t>
            </w:r>
          </w:p>
        </w:tc>
      </w:tr>
      <w:tr>
        <w:tc>
          <w:tcPr>
            <w:tcW w:type="dxa" w:w="2183"/>
          </w:tcPr>
          <w:p>
            <w:r>
              <w:rPr>
                <w:rFonts w:ascii="Consolas" w:hAnsi="Consolas" w:eastAsia="宋体"/>
                <w:b w:val="0"/>
                <w:sz w:val="21"/>
              </w:rPr>
              <w:t>zone_weather_hourly.csv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分区天气：温度/太阳辐射/100m风速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2025-04 ~ 2026-08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视为预测值，D+1 可直接使用</w:t>
            </w:r>
          </w:p>
        </w:tc>
      </w:tr>
      <w:tr>
        <w:tc>
          <w:tcPr>
            <w:tcW w:type="dxa" w:w="2183"/>
          </w:tcPr>
          <w:p>
            <w:r>
              <w:rPr>
                <w:rFonts w:ascii="Consolas" w:hAnsi="Consolas" w:eastAsia="宋体"/>
                <w:b w:val="0"/>
                <w:sz w:val="21"/>
              </w:rPr>
              <w:t>节点位置.xlsx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节点→区域映射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183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SNLNDRO/CONTROLX→ZP26，ELCAJNGT→SP15</w:t>
            </w:r>
          </w:p>
        </w:tc>
      </w:tr>
    </w:tbl>
    <w:p>
      <w:pPr>
        <w:spacing w:after="120" w:line="240" w:lineRule="auto"/>
      </w:pP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/>
          <w:sz w:val="24"/>
        </w:rPr>
        <w:t>节点</w:t>
      </w:r>
      <w:r>
        <w:rPr>
          <w:rFonts w:ascii="Times New Roman" w:hAnsi="Times New Roman" w:eastAsia="宋体"/>
          <w:b w:val="0"/>
          <w:sz w:val="24"/>
        </w:rPr>
        <w:t>：SNLNDRO、CONTROLX（ZP26，已建模）；ELCAJNGT（SP15，数据仅 2026-03 起、训练窗口 0 样本，</w:t>
      </w:r>
      <w:r>
        <w:rPr>
          <w:rFonts w:ascii="Times New Roman" w:hAnsi="Times New Roman" w:eastAsia="宋体"/>
          <w:b/>
          <w:sz w:val="24"/>
        </w:rPr>
        <w:t>未建模</w:t>
      </w:r>
      <w:r>
        <w:rPr>
          <w:rFonts w:ascii="Times New Roman" w:hAnsi="Times New Roman" w:eastAsia="宋体"/>
          <w:b w:val="0"/>
          <w:sz w:val="24"/>
        </w:rPr>
        <w:t>）。</w:t>
      </w: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/>
          <w:sz w:val="24"/>
        </w:rPr>
        <w:t>对齐产物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Consolas" w:hAnsi="Consolas" w:eastAsia="宋体"/>
          <w:b w:val="0"/>
          <w:sz w:val="24"/>
        </w:rPr>
        <w:t>master.csv</w:t>
      </w:r>
      <w:r>
        <w:rPr>
          <w:rFonts w:ascii="Times New Roman" w:hAnsi="Times New Roman" w:eastAsia="宋体"/>
          <w:b w:val="0"/>
          <w:sz w:val="24"/>
        </w:rPr>
        <w:t xml:space="preserve">（45780 行长表）→ </w:t>
      </w:r>
      <w:r>
        <w:rPr>
          <w:rFonts w:ascii="Consolas" w:hAnsi="Consolas" w:eastAsia="宋体"/>
          <w:b w:val="0"/>
          <w:sz w:val="24"/>
        </w:rPr>
        <w:t>features.parquet</w:t>
      </w:r>
      <w:r>
        <w:rPr>
          <w:rFonts w:ascii="Times New Roman" w:hAnsi="Times New Roman" w:eastAsia="宋体"/>
          <w:b w:val="0"/>
          <w:sz w:val="24"/>
        </w:rPr>
        <w:t>（特征矩阵）。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3. 预测方法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8"/>
        </w:rPr>
        <w:t>3.1 任务定义与防泄漏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 w:val="0"/>
          <w:sz w:val="24"/>
        </w:rPr>
        <w:t xml:space="preserve">每个样本 = </w:t>
      </w:r>
      <w:r>
        <w:rPr>
          <w:rFonts w:ascii="Times New Roman" w:hAnsi="Times New Roman" w:eastAsia="宋体"/>
          <w:b/>
          <w:sz w:val="24"/>
        </w:rPr>
        <w:t>决策日 D 的某个小时</w:t>
      </w:r>
      <w:r>
        <w:rPr>
          <w:rFonts w:ascii="Times New Roman" w:hAnsi="Times New Roman" w:eastAsia="宋体"/>
          <w:b w:val="0"/>
          <w:sz w:val="24"/>
        </w:rPr>
        <w:t xml:space="preserve">，目标 = 预测 </w:t>
      </w:r>
      <w:r>
        <w:rPr>
          <w:rFonts w:ascii="Times New Roman" w:hAnsi="Times New Roman" w:eastAsia="宋体"/>
          <w:b/>
          <w:sz w:val="24"/>
        </w:rPr>
        <w:t>D+1 同小时</w:t>
      </w:r>
      <w:r>
        <w:rPr>
          <w:rFonts w:ascii="Times New Roman" w:hAnsi="Times New Roman" w:eastAsia="宋体"/>
          <w:b w:val="0"/>
          <w:sz w:val="24"/>
        </w:rPr>
        <w:t xml:space="preserve"> 的价差。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防泄漏红线</w:t>
      </w:r>
      <w:r>
        <w:rPr>
          <w:rFonts w:ascii="Times New Roman" w:hAnsi="Times New Roman" w:eastAsia="宋体"/>
          <w:b w:val="0"/>
          <w:sz w:val="24"/>
        </w:rPr>
        <w:t>：决策时点 D 日 13:00 前，</w:t>
      </w:r>
      <w:r>
        <w:rPr>
          <w:rFonts w:ascii="Times New Roman" w:hAnsi="Times New Roman" w:eastAsia="宋体"/>
          <w:b/>
          <w:sz w:val="24"/>
        </w:rPr>
        <w:t>D 日当天的实际价格/负荷不可见</w:t>
      </w:r>
      <w:r>
        <w:rPr>
          <w:rFonts w:ascii="Times New Roman" w:hAnsi="Times New Roman" w:eastAsia="宋体"/>
          <w:b w:val="0"/>
          <w:sz w:val="24"/>
        </w:rPr>
        <w:t xml:space="preserve"> → 滞后特征只用 D-1 及更早；D+1 的 2DA 负荷与天气是预报值、此时已可得，可作特征。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 w:val="0"/>
          <w:sz w:val="24"/>
        </w:rPr>
        <w:t>时间切分（按决策日，不随机）：train 2025-04~12（</w:t>
      </w:r>
      <w:r>
        <w:rPr>
          <w:rFonts w:ascii="Times New Roman" w:hAnsi="Times New Roman" w:eastAsia="宋体"/>
          <w:b/>
          <w:sz w:val="24"/>
        </w:rPr>
        <w:t>13700</w:t>
      </w:r>
      <w:r>
        <w:rPr>
          <w:rFonts w:ascii="Times New Roman" w:hAnsi="Times New Roman" w:eastAsia="宋体"/>
          <w:b w:val="0"/>
          <w:sz w:val="24"/>
        </w:rPr>
        <w:t xml:space="preserve"> 样本）/ val 2026-01~05（7550）/ test 2026-06~08（3300）。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8"/>
        </w:rPr>
        <w:t>3.2 特征工程</w:t>
      </w: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 w:val="0"/>
          <w:sz w:val="24"/>
        </w:rPr>
        <w:t>共 34 个特征，分五类：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历史滞后</w:t>
      </w:r>
      <w:r>
        <w:rPr>
          <w:rFonts w:ascii="Times New Roman" w:hAnsi="Times New Roman" w:eastAsia="宋体"/>
          <w:b w:val="0"/>
          <w:sz w:val="24"/>
        </w:rPr>
        <w:t>（D-1/D-2/D-7 同小时 DA/RTPD/价差、D-1 负荷、节点间联动 peer 价）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滚动统计</w:t>
      </w:r>
      <w:r>
        <w:rPr>
          <w:rFonts w:ascii="Times New Roman" w:hAnsi="Times New Roman" w:eastAsia="宋体"/>
          <w:b w:val="0"/>
          <w:sz w:val="24"/>
        </w:rPr>
        <w:t>（近 7/14/30 日同小时价差均值与标准差、D-1 日内形态峰谷/波动）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未来已知</w:t>
      </w:r>
      <w:r>
        <w:rPr>
          <w:rFonts w:ascii="Times New Roman" w:hAnsi="Times New Roman" w:eastAsia="宋体"/>
          <w:b w:val="0"/>
          <w:sz w:val="24"/>
        </w:rPr>
        <w:t>（D+1 的 2DA 负荷、温度、太阳辐射、风速、负荷峰值标记）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日历</w:t>
      </w:r>
      <w:r>
        <w:rPr>
          <w:rFonts w:ascii="Times New Roman" w:hAnsi="Times New Roman" w:eastAsia="宋体"/>
          <w:b w:val="0"/>
          <w:sz w:val="24"/>
        </w:rPr>
        <w:t>（D+1 的星期、月份、美国节假日、光伏时段标记、小时）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节点</w:t>
      </w:r>
      <w:r>
        <w:rPr>
          <w:rFonts w:ascii="Times New Roman" w:hAnsi="Times New Roman" w:eastAsia="宋体"/>
          <w:b w:val="0"/>
          <w:sz w:val="24"/>
        </w:rPr>
        <w:t>（node 编码）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8"/>
        </w:rPr>
        <w:t>3.3 模型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决策核心</w:t>
      </w:r>
      <w:r>
        <w:rPr>
          <w:rFonts w:ascii="Times New Roman" w:hAnsi="Times New Roman" w:eastAsia="宋体"/>
          <w:b w:val="0"/>
          <w:sz w:val="24"/>
        </w:rPr>
        <w:t xml:space="preserve">：LightGBM </w:t>
      </w:r>
      <w:r>
        <w:rPr>
          <w:rFonts w:ascii="Times New Roman" w:hAnsi="Times New Roman" w:eastAsia="宋体"/>
          <w:b/>
          <w:sz w:val="24"/>
        </w:rPr>
        <w:t>方向分类器</w:t>
      </w:r>
      <w:r>
        <w:rPr>
          <w:rFonts w:ascii="Times New Roman" w:hAnsi="Times New Roman" w:eastAsia="宋体"/>
          <w:b w:val="0"/>
          <w:sz w:val="24"/>
        </w:rPr>
        <w:t xml:space="preserve">，目标 </w:t>
      </w:r>
      <w:r>
        <w:rPr>
          <w:rFonts w:ascii="Consolas" w:hAnsi="Consolas" w:eastAsia="宋体"/>
          <w:b w:val="0"/>
          <w:sz w:val="24"/>
        </w:rPr>
        <w:t>y = (价差&gt;0)</w:t>
      </w:r>
      <w:r>
        <w:rPr>
          <w:rFonts w:ascii="Times New Roman" w:hAnsi="Times New Roman" w:eastAsia="宋体"/>
          <w:b w:val="0"/>
          <w:sz w:val="24"/>
        </w:rPr>
        <w:t xml:space="preserve">，直接输出 </w:t>
      </w:r>
      <w:r>
        <w:rPr>
          <w:rFonts w:ascii="Consolas" w:hAnsi="Consolas" w:eastAsia="宋体"/>
          <w:b w:val="0"/>
          <w:sz w:val="24"/>
        </w:rPr>
        <w:t>P(价差&gt;0)</w:t>
      </w:r>
      <w:r>
        <w:rPr>
          <w:rFonts w:ascii="Times New Roman" w:hAnsi="Times New Roman" w:eastAsia="宋体"/>
          <w:b w:val="0"/>
          <w:sz w:val="24"/>
        </w:rPr>
        <w:t>（二分类 logloss，val 早停）。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展示辅助</w:t>
      </w:r>
      <w:r>
        <w:rPr>
          <w:rFonts w:ascii="Times New Roman" w:hAnsi="Times New Roman" w:eastAsia="宋体"/>
          <w:b w:val="0"/>
          <w:sz w:val="24"/>
        </w:rPr>
        <w:t>：LightGBM 分位数回归（q10/q50/q90）画价差曲线与置信带；DA/RTPD q50 点预测画价格曲线。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 w:val="0"/>
          <w:sz w:val="24"/>
        </w:rPr>
        <w:t>训练用 val 早停，缺省特征由 LightGBM 原生处理 NaN。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sz w:val="28"/>
        </w:rPr>
        <w:t>3.4 决策规则（单边策略）</w:t>
      </w: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 w:val="0"/>
          <w:sz w:val="24"/>
        </w:rPr>
        <w:t>实测发现模型对方向信号</w:t>
      </w:r>
      <w:r>
        <w:rPr>
          <w:rFonts w:ascii="Times New Roman" w:hAnsi="Times New Roman" w:eastAsia="宋体"/>
          <w:b/>
          <w:sz w:val="24"/>
        </w:rPr>
        <w:t>不对称</w:t>
      </w:r>
      <w:r>
        <w:rPr>
          <w:rFonts w:ascii="Times New Roman" w:hAnsi="Times New Roman" w:eastAsia="宋体"/>
          <w:b w:val="0"/>
          <w:sz w:val="24"/>
        </w:rPr>
        <w:t>（卖方向命中 71%、买方向 58%，负价差方向错单是亏损主因）：</w:t>
      </w:r>
    </w:p>
    <w:p>
      <w:pPr>
        <w:spacing w:after="0" w:line="276" w:lineRule="auto"/>
        <w:ind w:left="227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P(价差&gt;0) &gt; 0.5  且  近7日价差波动 std7 ≤ 120  →  "卖"（日前卖、实时买）</w:t>
      </w:r>
    </w:p>
    <w:p>
      <w:pPr>
        <w:spacing w:after="0" w:line="276" w:lineRule="auto"/>
        <w:ind w:left="227"/>
        <w:shd w:val="clear" w:color="auto" w:fill="F2F2F2"/>
      </w:pPr>
      <w:r>
        <w:rPr>
          <w:rFonts w:ascii="Consolas" w:hAnsi="Consolas" w:eastAsia="宋体"/>
          <w:b w:val="0"/>
          <w:sz w:val="21"/>
        </w:rPr>
        <w:t xml:space="preserve">否则                                            →  "观望"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4. 各节点结果（test 2026-06~08 / val 2026-01~05）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节点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时段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交易数(占比)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交易命中率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单边策略收益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实际正价差占比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价差幅度|实际|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SNLNDRO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val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1931 (53%)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69.9%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+5483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66.6%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9.9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test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958 (61%)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68.0%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+1808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62.6%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7.8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CONTROLX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val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19 (1%)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10.5%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-409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26.3%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106.6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test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 (0%)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-64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33.9%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213.8</w:t>
            </w:r>
          </w:p>
        </w:tc>
      </w:tr>
      <w:tr>
        <w:tc>
          <w:tcPr>
            <w:tcW w:type="dxa" w:w="124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整体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val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1950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69.3%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+5074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247"/>
          </w:tcPr>
          <w:p/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test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960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67.8%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+1744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spacing w:after="120" w:line="240" w:lineRule="auto"/>
      </w:pP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/>
          <w:sz w:val="24"/>
        </w:rPr>
        <w:t>结论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SNLNDRO 是策略主力</w:t>
      </w:r>
      <w:r>
        <w:rPr>
          <w:rFonts w:ascii="Times New Roman" w:hAnsi="Times New Roman" w:eastAsia="宋体"/>
          <w:b w:val="0"/>
          <w:sz w:val="24"/>
        </w:rPr>
        <w:t>：该节点价差系统性偏正（约 2/3 时间 DA&gt;RTPD），模型预测正价差命中 68–70%，且幅度小（±10）风险可控 → 稳定盈利。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CONTROLX 几乎不参与</w:t>
      </w:r>
      <w:r>
        <w:rPr>
          <w:rFonts w:ascii="Times New Roman" w:hAnsi="Times New Roman" w:eastAsia="宋体"/>
          <w:b w:val="0"/>
          <w:sz w:val="24"/>
        </w:rPr>
        <w:t>：实际正价差只占 26–34%，模型对其"预测正价差"信号弱（命中仅 10%），单边规则下几乎不触发交易，避免了大幅度节点的亏损。</w:t>
      </w:r>
    </w:p>
    <w:p>
      <w:pPr>
        <w:pStyle w:val="ListBullet"/>
        <w:spacing w:after="40" w:line="312" w:lineRule="auto"/>
      </w:pPr>
      <w:r>
        <w:rPr>
          <w:rFonts w:ascii="Times New Roman" w:hAnsi="Times New Roman" w:eastAsia="宋体"/>
          <w:b w:val="0"/>
          <w:sz w:val="24"/>
        </w:rPr>
        <w:t>ELCAJNGT 未建模（数据不足）。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5. 影响因子占比（方向分类器 特征重要性，按 gain）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排名</w:t>
            </w:r>
          </w:p>
        </w:tc>
        <w:tc>
          <w:tcPr>
            <w:tcW w:type="dxa" w:w="2911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特征</w:t>
            </w:r>
          </w:p>
        </w:tc>
        <w:tc>
          <w:tcPr>
            <w:tcW w:type="dxa" w:w="2911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da_lag1（D-1 日前价）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31.2%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da_lag2（D-2 日前价）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24.9%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month_next（月份）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4.4%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load_2da_next（D+1 负荷预测）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4.2%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da_lag7（D-7 日前价）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4.1%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t2m_next（D+1 温度）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3.1%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rtpd_lag7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3.0%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wind100_next（D+1 风速）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2.8%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spread_std30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2.4%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dow_next（星期）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2.3%</w:t>
            </w:r>
          </w:p>
        </w:tc>
      </w:tr>
    </w:tbl>
    <w:p>
      <w:pPr>
        <w:spacing w:after="120" w:line="240" w:lineRule="auto"/>
      </w:pP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/>
          <w:sz w:val="24"/>
        </w:rPr>
        <w:t>类别汇总</w:t>
      </w:r>
      <w:r>
        <w:rPr>
          <w:rFonts w:ascii="Times New Roman" w:hAnsi="Times New Roman" w:eastAsia="宋体"/>
          <w:b w:val="0"/>
          <w:sz w:val="24"/>
        </w:rPr>
        <w:t xml:space="preserve">：历史价格滞后 </w:t>
      </w:r>
      <w:r>
        <w:rPr>
          <w:rFonts w:ascii="Times New Roman" w:hAnsi="Times New Roman" w:eastAsia="宋体"/>
          <w:b/>
          <w:sz w:val="24"/>
        </w:rPr>
        <w:t>72.8%</w:t>
      </w:r>
      <w:r>
        <w:rPr>
          <w:rFonts w:ascii="Times New Roman" w:hAnsi="Times New Roman" w:eastAsia="宋体"/>
          <w:b w:val="0"/>
          <w:sz w:val="24"/>
        </w:rPr>
        <w:t>（其中 DA 价滞后约 60%）｜ 未来预报（负荷/天气）18.3% ｜ 日历 8.2% ｜ 滚动统计 6.9% ｜ 节点 0.7%。</w:t>
      </w: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/>
          <w:sz w:val="24"/>
        </w:rPr>
        <w:t>解读</w:t>
      </w:r>
      <w:r>
        <w:rPr>
          <w:rFonts w:ascii="Times New Roman" w:hAnsi="Times New Roman" w:eastAsia="宋体"/>
          <w:b w:val="0"/>
          <w:sz w:val="24"/>
        </w:rPr>
        <w:t xml:space="preserve">：方向信号主要来自 </w:t>
      </w:r>
      <w:r>
        <w:rPr>
          <w:rFonts w:ascii="Times New Roman" w:hAnsi="Times New Roman" w:eastAsia="宋体"/>
          <w:b/>
          <w:sz w:val="24"/>
        </w:rPr>
        <w:t>DA 价的滞后结构</w:t>
      </w:r>
      <w:r>
        <w:rPr>
          <w:rFonts w:ascii="Times New Roman" w:hAnsi="Times New Roman" w:eastAsia="宋体"/>
          <w:b w:val="0"/>
          <w:sz w:val="24"/>
        </w:rPr>
        <w:t>（DA 价是 T-1 已确定的撮合价，对次日价差方向最具预示力）；其次 D+1 的负荷与天气预报（供给侧之外的系统状态）。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6. 基线对比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策略</w:t>
            </w:r>
          </w:p>
        </w:tc>
        <w:tc>
          <w:tcPr>
            <w:tcW w:type="dxa" w:w="4366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test 模拟套利收益</w:t>
            </w:r>
          </w:p>
        </w:tc>
      </w:tr>
      <w:tr>
        <w:tc>
          <w:tcPr>
            <w:tcW w:type="dxa" w:w="436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本工程（单边策略）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+1744</w:t>
            </w:r>
          </w:p>
        </w:tc>
      </w:tr>
      <w:tr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全交易（无观望/无风控）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-129655</w:t>
            </w:r>
          </w:p>
        </w:tc>
      </w:tr>
      <w:tr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反向策略（每笔取负）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+129655</w:t>
            </w:r>
          </w:p>
        </w:tc>
      </w:tr>
      <w:tr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不交易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spacing w:after="120" w:line="240" w:lineRule="auto"/>
      </w:pP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/>
          <w:sz w:val="24"/>
        </w:rPr>
        <w:t>数值基线</w:t>
      </w:r>
      <w:r>
        <w:rPr>
          <w:rFonts w:ascii="Times New Roman" w:hAnsi="Times New Roman" w:eastAsia="宋体"/>
          <w:b w:val="0"/>
          <w:sz w:val="24"/>
        </w:rPr>
        <w:t>（spread 预测）：naive（用 D-1 同小时价差直推）MAE=129.0 → 本模型 MAE=</w:t>
      </w:r>
      <w:r>
        <w:rPr>
          <w:rFonts w:ascii="Times New Roman" w:hAnsi="Times New Roman" w:eastAsia="宋体"/>
          <w:b/>
          <w:sz w:val="24"/>
        </w:rPr>
        <w:t>109.1</w:t>
      </w:r>
      <w:r>
        <w:rPr>
          <w:rFonts w:ascii="Times New Roman" w:hAnsi="Times New Roman" w:eastAsia="宋体"/>
          <w:b w:val="0"/>
          <w:sz w:val="24"/>
        </w:rPr>
        <w:t>（提升 15%）。</w:t>
      </w: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 w:val="0"/>
          <w:sz w:val="24"/>
        </w:rPr>
        <w:t>结论：单边策略显著优于全交易（规避了 -13 万的大亏）与 naive 基线。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7. 如何评测模型好坏</w:t>
      </w: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 w:val="0"/>
          <w:sz w:val="24"/>
        </w:rPr>
        <w:t>分四层，业务优先：</w:t>
      </w:r>
    </w:p>
    <w:p>
      <w:pPr>
        <w:pStyle w:val="ListNumber"/>
        <w:numPr>
          <w:ilvl w:val="0"/>
          <w:numId w:val="10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方向准确率（核心业务指标）</w:t>
      </w:r>
      <w:r>
        <w:rPr>
          <w:rFonts w:ascii="Times New Roman" w:hAnsi="Times New Roman" w:eastAsia="宋体"/>
          <w:b w:val="0"/>
          <w:sz w:val="24"/>
        </w:rPr>
        <w:t>：整体方向准确率（sign 预测 vs 实际）62.6%；</w:t>
      </w:r>
      <w:r>
        <w:rPr>
          <w:rFonts w:ascii="Times New Roman" w:hAnsi="Times New Roman" w:eastAsia="宋体"/>
          <w:b/>
          <w:sz w:val="24"/>
        </w:rPr>
        <w:t>交易时段命中率</w:t>
      </w:r>
      <w:r>
        <w:rPr>
          <w:rFonts w:ascii="Times New Roman" w:hAnsi="Times New Roman" w:eastAsia="宋体"/>
          <w:b w:val="0"/>
          <w:sz w:val="24"/>
        </w:rPr>
        <w:t xml:space="preserve"> 67.8%（只看实际下单的样本，更贴业务）。</w:t>
      </w:r>
    </w:p>
    <w:p>
      <w:pPr>
        <w:pStyle w:val="ListNumber"/>
        <w:numPr>
          <w:ilvl w:val="0"/>
          <w:numId w:val="10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数值精度</w:t>
      </w:r>
      <w:r>
        <w:rPr>
          <w:rFonts w:ascii="Times New Roman" w:hAnsi="Times New Roman" w:eastAsia="宋体"/>
          <w:b w:val="0"/>
          <w:sz w:val="24"/>
        </w:rPr>
        <w:t>：spread/DA/RTPD 的 MAE、RMSE（模型 spread MAE 109.1 vs naive 129.0）——作参考，非主指标（价差方向才是业务目标）。</w:t>
      </w:r>
    </w:p>
    <w:p>
      <w:pPr>
        <w:pStyle w:val="ListNumber"/>
        <w:numPr>
          <w:ilvl w:val="0"/>
          <w:numId w:val="10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决策质量</w:t>
      </w:r>
      <w:r>
        <w:rPr>
          <w:rFonts w:ascii="Times New Roman" w:hAnsi="Times New Roman" w:eastAsia="宋体"/>
          <w:b w:val="0"/>
          <w:sz w:val="24"/>
        </w:rPr>
        <w:t>：买/卖/观望占比；每类决策平均收益；hold 是否避开了大额亏损。</w:t>
      </w:r>
    </w:p>
    <w:p>
      <w:pPr>
        <w:pStyle w:val="ListNumber"/>
        <w:numPr>
          <w:ilvl w:val="0"/>
          <w:numId w:val="10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模拟套利</w:t>
      </w:r>
      <w:r>
        <w:rPr>
          <w:rFonts w:ascii="Times New Roman" w:hAnsi="Times New Roman" w:eastAsia="宋体"/>
          <w:b w:val="0"/>
          <w:sz w:val="24"/>
        </w:rPr>
        <w:t>：按预测方向 DA 买卖、RTPD 反向平仓、按真实价差结算 → 总收益、日均、命中率、</w:t>
      </w:r>
      <w:r>
        <w:rPr>
          <w:rFonts w:ascii="Times New Roman" w:hAnsi="Times New Roman" w:eastAsia="宋体"/>
          <w:b/>
          <w:sz w:val="24"/>
        </w:rPr>
        <w:t>最大单笔亏损</w:t>
      </w:r>
      <w:r>
        <w:rPr>
          <w:rFonts w:ascii="Times New Roman" w:hAnsi="Times New Roman" w:eastAsia="宋体"/>
          <w:b w:val="0"/>
          <w:sz w:val="24"/>
        </w:rPr>
        <w:t>、累计收益曲线；对比全交易/反向/不交易。</w:t>
      </w:r>
    </w:p>
    <w:p>
      <w:pPr>
        <w:pStyle w:val="ListNumber"/>
        <w:numPr>
          <w:ilvl w:val="0"/>
          <w:numId w:val="10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稳健性</w:t>
      </w:r>
      <w:r>
        <w:rPr>
          <w:rFonts w:ascii="Times New Roman" w:hAnsi="Times New Roman" w:eastAsia="宋体"/>
          <w:b w:val="0"/>
          <w:sz w:val="24"/>
        </w:rPr>
        <w:t>：val（2026 H1）与 test（2026 H2）双时段都为正收益（+5074 / +1744），避免只在测试集上调参的过拟合。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8. 已知局限（如实说明）</w:t>
      </w:r>
    </w:p>
    <w:p>
      <w:pPr>
        <w:pStyle w:val="ListNumber"/>
        <w:numPr>
          <w:ilvl w:val="0"/>
          <w:numId w:val="11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套利利润偏薄</w:t>
      </w:r>
      <w:r>
        <w:rPr>
          <w:rFonts w:ascii="Times New Roman" w:hAnsi="Times New Roman" w:eastAsia="宋体"/>
          <w:b w:val="0"/>
          <w:sz w:val="24"/>
        </w:rPr>
        <w:t>：val +5074 / test +1744，日均约 27–60——价差本身难预测，方向 62.6% 带来的收益空间有限。</w:t>
      </w:r>
    </w:p>
    <w:p>
      <w:pPr>
        <w:pStyle w:val="ListNumber"/>
        <w:numPr>
          <w:ilvl w:val="0"/>
          <w:numId w:val="11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单边牺牲双边机会</w:t>
      </w:r>
      <w:r>
        <w:rPr>
          <w:rFonts w:ascii="Times New Roman" w:hAnsi="Times New Roman" w:eastAsia="宋体"/>
          <w:b w:val="0"/>
          <w:sz w:val="24"/>
        </w:rPr>
        <w:t>：只做"卖"（正价差）方向，负价差方向的套利机会被放弃。</w:t>
      </w:r>
    </w:p>
    <w:p>
      <w:pPr>
        <w:pStyle w:val="ListNumber"/>
        <w:numPr>
          <w:ilvl w:val="0"/>
          <w:numId w:val="11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交易集中在 SNLNDRO</w:t>
      </w:r>
      <w:r>
        <w:rPr>
          <w:rFonts w:ascii="Times New Roman" w:hAnsi="Times New Roman" w:eastAsia="宋体"/>
          <w:b w:val="0"/>
          <w:sz w:val="24"/>
        </w:rPr>
        <w:t>：CONTROLX 在单边下几乎不交易。</w:t>
      </w:r>
    </w:p>
    <w:p>
      <w:pPr>
        <w:pStyle w:val="ListNumber"/>
        <w:numPr>
          <w:ilvl w:val="0"/>
          <w:numId w:val="11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跨时段仍有漂移</w:t>
      </w:r>
      <w:r>
        <w:rPr>
          <w:rFonts w:ascii="Times New Roman" w:hAnsi="Times New Roman" w:eastAsia="宋体"/>
          <w:b w:val="0"/>
          <w:sz w:val="24"/>
        </w:rPr>
        <w:t>：val/test 收益均为正但绝对值不同，市场状态变化仍影响表现。</w:t>
      </w:r>
    </w:p>
    <w:p>
      <w:pPr>
        <w:pStyle w:val="ListNumber"/>
        <w:numPr>
          <w:ilvl w:val="0"/>
          <w:numId w:val="11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决策阈值基于回测校准</w:t>
      </w:r>
      <w:r>
        <w:rPr>
          <w:rFonts w:ascii="Times New Roman" w:hAnsi="Times New Roman" w:eastAsia="宋体"/>
          <w:b w:val="0"/>
          <w:sz w:val="24"/>
        </w:rPr>
        <w:t>（prob&gt;0.5、std7≤120），实盘需再验证。</w:t>
      </w:r>
    </w:p>
    <w:p>
      <w:pPr>
        <w:pStyle w:val="ListNumber"/>
        <w:numPr>
          <w:ilvl w:val="0"/>
          <w:numId w:val="11"/>
        </w:numPr>
        <w:spacing w:after="40" w:line="312" w:lineRule="auto"/>
      </w:pPr>
      <w:r>
        <w:rPr>
          <w:rFonts w:ascii="Times New Roman" w:hAnsi="Times New Roman" w:eastAsia="宋体"/>
          <w:b/>
          <w:sz w:val="24"/>
        </w:rPr>
        <w:t>ELCAJNGT 未训练</w:t>
      </w:r>
      <w:r>
        <w:rPr>
          <w:rFonts w:ascii="Times New Roman" w:hAnsi="Times New Roman" w:eastAsia="宋体"/>
          <w:b w:val="0"/>
          <w:sz w:val="24"/>
        </w:rPr>
        <w:t>；天气按"预报值"假设（若实测需改滞后特征）。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9. 增强方向（需外部数据，按优先级）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</w:t>
            </w:r>
          </w:p>
        </w:tc>
        <w:tc>
          <w:tcPr>
            <w:tcW w:type="dxa" w:w="2911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为什么有用</w:t>
            </w:r>
          </w:p>
        </w:tc>
        <w:tc>
          <w:tcPr>
            <w:tcW w:type="dxa" w:w="2911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当前缺失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天然气价格</w:t>
            </w:r>
            <w:r>
              <w:rPr>
                <w:rFonts w:ascii="Times New Roman" w:hAnsi="Times New Roman" w:eastAsia="宋体"/>
                <w:b w:val="0"/>
                <w:sz w:val="21"/>
              </w:rPr>
              <w:t>（Henry Hub / 加州气价）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燃气机组是加州边际定价者，电价 ≈ 气价×热耗率；DA/RTPD 用不同时点气价 → 直接是价差方向的供给侧信号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缺（历史价滞后只间接含过去气价，无 D+1 气价预测）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CA-ISO 光伏/风电出力预测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可再生能源出力直接影响 RTPD 与价差（鸭子曲线核心驱动）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缺（ssrd 只是代理，非实际出力）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负荷偏差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（实时 vs 日前预测）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日内偏差是 RTPD 波动的直接诱因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缺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更多节点/区域价格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阻塞与区域价差预示方向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仅 2 节点</w:t>
            </w:r>
          </w:p>
        </w:tc>
      </w:tr>
      <w:tr>
        <w:tc>
          <w:tcPr>
            <w:tcW w:type="dxa" w:w="2911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滚动/更长历史训练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适应市场漂移</w:t>
            </w:r>
          </w:p>
        </w:tc>
        <w:tc>
          <w:tcPr>
            <w:tcW w:type="dxa" w:w="291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已扩至 9 个月，仍可加滚动窗口</w:t>
            </w:r>
          </w:p>
        </w:tc>
      </w:tr>
    </w:tbl>
    <w:p>
      <w:pPr>
        <w:spacing w:after="120" w:line="240" w:lineRule="auto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sz w:val="32"/>
        </w:rPr>
        <w:t>10. 交付物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366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366"/>
          </w:tcPr>
          <w:p>
            <w:r>
              <w:rPr>
                <w:rFonts w:ascii="Consolas" w:hAnsi="Consolas" w:eastAsia="宋体"/>
                <w:b w:val="0"/>
                <w:sz w:val="21"/>
              </w:rPr>
              <w:t>code/read_data.py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数据对齐 → master.csv</w:t>
            </w:r>
          </w:p>
        </w:tc>
      </w:tr>
      <w:tr>
        <w:tc>
          <w:tcPr>
            <w:tcW w:type="dxa" w:w="4366"/>
          </w:tcPr>
          <w:p>
            <w:r>
              <w:rPr>
                <w:rFonts w:ascii="Consolas" w:hAnsi="Consolas" w:eastAsia="宋体"/>
                <w:b w:val="0"/>
                <w:sz w:val="21"/>
              </w:rPr>
              <w:t>code/features.py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特征工程 + 时间切分 + 防泄漏校验</w:t>
            </w:r>
          </w:p>
        </w:tc>
      </w:tr>
      <w:tr>
        <w:tc>
          <w:tcPr>
            <w:tcW w:type="dxa" w:w="4366"/>
          </w:tcPr>
          <w:p>
            <w:r>
              <w:rPr>
                <w:rFonts w:ascii="Consolas" w:hAnsi="Consolas" w:eastAsia="宋体"/>
                <w:b w:val="0"/>
                <w:sz w:val="21"/>
              </w:rPr>
              <w:t>code/train.py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方向分类器 + 分位数回归训练，输出模型与测试预测</w:t>
            </w:r>
          </w:p>
        </w:tc>
      </w:tr>
      <w:tr>
        <w:tc>
          <w:tcPr>
            <w:tcW w:type="dxa" w:w="4366"/>
          </w:tcPr>
          <w:p>
            <w:r>
              <w:rPr>
                <w:rFonts w:ascii="Consolas" w:hAnsi="Consolas" w:eastAsia="宋体"/>
                <w:b w:val="0"/>
                <w:sz w:val="21"/>
              </w:rPr>
              <w:t>code/evaluate.py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业务评估（方向/决策/套利）→ 汇总 JSON + 收益曲线</w:t>
            </w:r>
          </w:p>
        </w:tc>
      </w:tr>
      <w:tr>
        <w:tc>
          <w:tcPr>
            <w:tcW w:type="dxa" w:w="4366"/>
          </w:tcPr>
          <w:p>
            <w:r>
              <w:rPr>
                <w:rFonts w:ascii="Consolas" w:hAnsi="Consolas" w:eastAsia="宋体"/>
                <w:b w:val="0"/>
                <w:sz w:val="21"/>
              </w:rPr>
              <w:t>code/app.py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21"/>
              </w:rPr>
              <w:t>code/templates/index.html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Flask 网页：输入节点+日期 → 24h 曲线 + 买卖建议 + 回测对比</w:t>
            </w:r>
          </w:p>
        </w:tc>
      </w:tr>
      <w:tr>
        <w:tc>
          <w:tcPr>
            <w:tcW w:type="dxa" w:w="4366"/>
          </w:tcPr>
          <w:p>
            <w:r>
              <w:rPr>
                <w:rFonts w:ascii="Consolas" w:hAnsi="Consolas" w:eastAsia="宋体"/>
                <w:b w:val="0"/>
                <w:sz w:val="21"/>
              </w:rPr>
              <w:t>code/data/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, </w:t>
            </w:r>
            <w:r>
              <w:rPr>
                <w:rFonts w:ascii="Consolas" w:hAnsi="Consolas" w:eastAsia="宋体"/>
                <w:b w:val="0"/>
                <w:sz w:val="21"/>
              </w:rPr>
              <w:t>code/models/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特征矩阵、模型、评估产物</w:t>
            </w:r>
          </w:p>
        </w:tc>
      </w:tr>
      <w:tr>
        <w:tc>
          <w:tcPr>
            <w:tcW w:type="dxa" w:w="4366"/>
          </w:tcPr>
          <w:p>
            <w:r>
              <w:rPr>
                <w:rFonts w:ascii="Consolas" w:hAnsi="Consolas" w:eastAsia="宋体"/>
                <w:b w:val="0"/>
                <w:sz w:val="21"/>
              </w:rPr>
              <w:t>README.md</w:t>
            </w:r>
          </w:p>
        </w:tc>
        <w:tc>
          <w:tcPr>
            <w:tcW w:type="dxa" w:w="4366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运行方法与结果摘要</w:t>
            </w:r>
          </w:p>
        </w:tc>
      </w:tr>
    </w:tbl>
    <w:p>
      <w:pPr>
        <w:spacing w:after="120" w:line="240" w:lineRule="auto"/>
      </w:pPr>
    </w:p>
    <w:p>
      <w:pPr>
        <w:spacing w:line="312" w:lineRule="auto" w:after="120"/>
        <w:jc w:val="both"/>
      </w:pPr>
      <w:r>
        <w:rPr>
          <w:rFonts w:ascii="Times New Roman" w:hAnsi="Times New Roman" w:eastAsia="宋体"/>
          <w:b/>
          <w:sz w:val="24"/>
        </w:rPr>
        <w:t>运行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Consolas" w:hAnsi="Consolas" w:eastAsia="宋体"/>
          <w:b w:val="0"/>
          <w:sz w:val="24"/>
        </w:rPr>
        <w:t>python code/app.py</w:t>
      </w:r>
      <w:r>
        <w:rPr>
          <w:rFonts w:ascii="Times New Roman" w:hAnsi="Times New Roman" w:eastAsia="宋体"/>
          <w:b w:val="0"/>
          <w:sz w:val="24"/>
        </w:rPr>
        <w:t xml:space="preserve"> → http://127.0.0.1:5000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num w:numId="10">
    <w:abstractNumId w:val="9"/>
    <w:lvlOverride w:ilvl="0">
      <w:startOverride w:val="1"/>
    </w:lvlOverride>
  </w:num>
  <w:abstractNum w:abstractNumId="10"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num w:numId="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