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15D3303A" w:rsidR="00EE5587" w:rsidRPr="00EE558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Проект системы по лабораторному проекту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72F35E79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4092911C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6C0ECE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C0EC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6C0ECE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783987A4" w14:textId="77777777" w:rsidR="006C0ECE" w:rsidRPr="006C0ECE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491940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_Toc114491940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15A0E1" w14:textId="77777777" w:rsidR="006C0ECE" w:rsidRPr="006C0ECE" w:rsidRDefault="00651D5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1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_Toc114491941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C9ACC9" w14:textId="77777777" w:rsidR="006C0ECE" w:rsidRPr="006C0ECE" w:rsidRDefault="00651D5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2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_Toc114491942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F654B7" w14:textId="77777777" w:rsidR="006C0ECE" w:rsidRPr="006C0ECE" w:rsidRDefault="00651D5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3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_Toc114491943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1CC513" w14:textId="77777777" w:rsidR="006C0ECE" w:rsidRPr="006C0ECE" w:rsidRDefault="00651D5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4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_Toc114491944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C14684" w14:textId="77777777" w:rsidR="006C0ECE" w:rsidRPr="006C0ECE" w:rsidRDefault="00651D5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5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_Toc114491945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BAFCE9" w14:textId="77777777" w:rsidR="006C0ECE" w:rsidRPr="006C0ECE" w:rsidRDefault="00651D5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6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_Toc114491946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855102" w14:textId="77777777" w:rsidR="006C0ECE" w:rsidRPr="006C0ECE" w:rsidRDefault="00651D5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7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_Toc114491947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8195D0" w14:textId="77777777" w:rsidR="006C0ECE" w:rsidRPr="006C0ECE" w:rsidRDefault="00651D5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8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_Toc114491948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5D2F78" w14:textId="77777777" w:rsidR="006C0ECE" w:rsidRPr="006C0ECE" w:rsidRDefault="00651D5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9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_Toc114491949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F2DF72" w14:textId="77777777" w:rsidR="006C0ECE" w:rsidRPr="006C0ECE" w:rsidRDefault="00651D5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50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_Toc114491950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EC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491940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491941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491942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491943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5B4D632E" w:rsidR="00E849BC" w:rsidRPr="00B448BF" w:rsidRDefault="00B448BF" w:rsidP="00B448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E849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 w:rsidRPr="00B448B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Pr="00B448BF" w:rsidRDefault="00672BE0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C5400A9" w14:textId="77777777" w:rsidR="00672BE0" w:rsidRPr="00B448BF" w:rsidRDefault="00672BE0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B448B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B448B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2B0BE863" w:rsidR="00E849BC" w:rsidRPr="008630CB" w:rsidRDefault="008630CB" w:rsidP="00863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4003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 w:rsidRPr="008630CB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7DD0CDD0" w:rsidR="0036739B" w:rsidRPr="008630CB" w:rsidRDefault="008630CB" w:rsidP="00863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0F68F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 w:rsidRPr="008630CB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8630CB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</w:t>
            </w:r>
            <w:r w:rsidRPr="008630CB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69BE773D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491944"/>
      <w:r w:rsidR="0060587F" w:rsidRPr="007B3EE3">
        <w:rPr>
          <w:sz w:val="28"/>
          <w:szCs w:val="28"/>
        </w:rPr>
        <w:t>Обзор аналогов</w:t>
      </w:r>
      <w:bookmarkEnd w:id="4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4491945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5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417D8" w14:textId="67FA60E4" w:rsidR="00B54794" w:rsidRPr="00B54794" w:rsidRDefault="00B54794" w:rsidP="00B5479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рисунках 2.1 – 2.2 </w:t>
      </w:r>
      <w:proofErr w:type="gramStart"/>
      <w:r w:rsidRPr="00B54794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B5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331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модель письменного стола с указанными выше параметрами.</w:t>
      </w:r>
    </w:p>
    <w:p w14:paraId="0FD381B4" w14:textId="77777777" w:rsidR="00B54794" w:rsidRPr="00B54794" w:rsidRDefault="00B54794" w:rsidP="0005331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8DC3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36AA" wp14:editId="6B49D345">
            <wp:extent cx="4000500" cy="3500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3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499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2.1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круглым основанием ножек</w:t>
      </w:r>
    </w:p>
    <w:p w14:paraId="0774347F" w14:textId="77777777" w:rsidR="00B54794" w:rsidRPr="00B54794" w:rsidRDefault="00B54794" w:rsidP="00B54794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EA77C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1E9E" wp14:editId="62C2038D">
            <wp:extent cx="4046220" cy="366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15" cy="3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902" w14:textId="25D2C90C" w:rsidR="00380095" w:rsidRPr="00D14B25" w:rsidRDefault="00B54794" w:rsidP="00B805FD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2.2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квадратным основанием ножек</w:t>
      </w:r>
      <w:r w:rsidR="00B805F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491946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Start w:id="7" w:name="_GoBack"/>
      <w:bookmarkEnd w:id="6"/>
      <w:bookmarkEnd w:id="7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114491947"/>
      <w:r w:rsidR="0060587F" w:rsidRPr="00884B24">
        <w:rPr>
          <w:sz w:val="28"/>
          <w:szCs w:val="28"/>
        </w:rPr>
        <w:t>Диаграмма классов</w:t>
      </w:r>
      <w:bookmarkEnd w:id="8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18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557FBED2" w:rsidR="00A94C5B" w:rsidRDefault="00C00FCD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C873DB" wp14:editId="3E256FEF">
            <wp:extent cx="7185660" cy="565119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48" cy="56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448FC671" w14:textId="7C977629" w:rsidR="00AD1802" w:rsidRPr="003C5D7A" w:rsidRDefault="00AD1802" w:rsidP="0095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131E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9" w:name="_Toc114491948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491949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491950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47241CF2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4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665E32BA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52B01F76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D85817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767602F6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30E45E76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36504DB3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0255097D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6E9C997A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77EB5470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7FFCF" w14:textId="77777777" w:rsidR="00651D57" w:rsidRDefault="00651D57" w:rsidP="001873FA">
      <w:pPr>
        <w:spacing w:after="0" w:line="240" w:lineRule="auto"/>
      </w:pPr>
      <w:r>
        <w:separator/>
      </w:r>
    </w:p>
  </w:endnote>
  <w:endnote w:type="continuationSeparator" w:id="0">
    <w:p w14:paraId="7394C349" w14:textId="77777777" w:rsidR="00651D57" w:rsidRDefault="00651D57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B805FD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17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05FD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C4E90" w14:textId="77777777" w:rsidR="00651D57" w:rsidRDefault="00651D57" w:rsidP="001873FA">
      <w:pPr>
        <w:spacing w:after="0" w:line="240" w:lineRule="auto"/>
      </w:pPr>
      <w:r>
        <w:separator/>
      </w:r>
    </w:p>
  </w:footnote>
  <w:footnote w:type="continuationSeparator" w:id="0">
    <w:p w14:paraId="652E9030" w14:textId="77777777" w:rsidR="00651D57" w:rsidRDefault="00651D57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1D57"/>
    <w:rsid w:val="006550FD"/>
    <w:rsid w:val="00672908"/>
    <w:rsid w:val="00672BE0"/>
    <w:rsid w:val="00680A12"/>
    <w:rsid w:val="00684392"/>
    <w:rsid w:val="00684616"/>
    <w:rsid w:val="00685A0C"/>
    <w:rsid w:val="00686746"/>
    <w:rsid w:val="006946F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30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31E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448BF"/>
    <w:rsid w:val="00B51141"/>
    <w:rsid w:val="00B52DF5"/>
    <w:rsid w:val="00B54794"/>
    <w:rsid w:val="00B5692C"/>
    <w:rsid w:val="00B654FF"/>
    <w:rsid w:val="00B74F93"/>
    <w:rsid w:val="00B805FD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81D"/>
    <w:rsid w:val="00C61129"/>
    <w:rsid w:val="00C71932"/>
    <w:rsid w:val="00C764A1"/>
    <w:rsid w:val="00C84FE2"/>
    <w:rsid w:val="00C8712F"/>
    <w:rsid w:val="00C91054"/>
    <w:rsid w:val="00CA1D1E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hyperlink" Target="https://ru.wikipedia.org/wiki/Auto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caddivision.com/en/software/symboldesign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furnituresoft-software.com/aut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autodesk.com/products/autocad/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5391E-B835-4ECE-96CA-63447D06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27</Pages>
  <Words>3934</Words>
  <Characters>22428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64</cp:revision>
  <dcterms:created xsi:type="dcterms:W3CDTF">2022-09-18T11:53:00Z</dcterms:created>
  <dcterms:modified xsi:type="dcterms:W3CDTF">2022-09-19T08:06:00Z</dcterms:modified>
</cp:coreProperties>
</file>