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本视频讲述了股票交易中完美入场点的识别与持有策略，通过具体案例分析了B1、B2等关键买点、止损设置（如白线、黄线）、洗盘行为判断、缩量突破与庄股特征，并强调如如不动的心态和知行合一的重要性。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10782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03"/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第一个完美入场点 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完美入场点的定义与重要性 </w:t>
      </w:r>
      <w:bookmarkEnd w:id="100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成功在“B一”位置入场是赚钱能力的体现，而非运气。</w:t>
      </w:r>
      <w:bookmarkEnd w:id="100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入场后的涨跌属于运气范畴，但长期坚持正确策略可规避情绪化操作。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案例背景介绍 </w:t>
      </w:r>
      <w:bookmarkEnd w:id="100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某标的出现4%高开并放量，引发市场争议。</w:t>
      </w:r>
      <w:bookmarkEnd w:id="100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市场下跌常被归咎于主播“宣票”，但实际走势需理性分析。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11"/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横盘震荡期间的操作原则 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滴滴信号的适用条件 </w:t>
      </w:r>
      <w:bookmarkEnd w:id="1013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“滴滴”适用于连续拉升后的回调阶段，不适用于横盘区间。</w:t>
      </w:r>
      <w:bookmarkEnd w:id="101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横盘期间应关注价格是否受控于白线之上。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止损策略设定 </w:t>
      </w:r>
      <w:bookmarkEnd w:id="101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建议将止损位设在19.5元，只要未跌破即可坚定持有。</w:t>
      </w:r>
      <w:bookmarkEnd w:id="101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牛股不会轻易跌破白线，因此守住白线是核心逻辑。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19"/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心理建设与市场认知 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波段操作的核心理念 </w:t>
      </w:r>
      <w:bookmarkEnd w:id="102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强调“吃满波段”的重要性，在加速上涨前尽量保留筹码。</w:t>
      </w:r>
      <w:bookmarkEnd w:id="102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提醒听众注意周期转换：周日调整后下周可能面临套人行情。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应对震荡的心理准备 </w:t>
      </w:r>
      <w:bookmarkEnd w:id="1024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震荡阶段外界噪音大，容易动摇信心。</w:t>
      </w:r>
      <w:bookmarkEnd w:id="1025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正确做法是设定好止损后不再盯盘，避免情绪干扰。</w:t>
      </w:r>
      <w:bookmarkEnd w:id="102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马奇诺防线类比 </w:t>
      </w:r>
      <w:bookmarkEnd w:id="102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将止损线比喻为“马奇诺防线”，一旦击破必须执行卖出动作。</w:t>
      </w:r>
      <w:bookmarkEnd w:id="102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跌破19.5元则短线卖出无须羞愧，哪怕只赚两个点也值得。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30"/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洗盘行为的本质解析 </w:t>
      </w:r>
      <w:bookmarkEnd w:id="103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主力操盘逻辑分析 </w:t>
      </w:r>
      <w:bookmarkEnd w:id="103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标的走势始终处于关键K线管理之下，精准控制回踩幅度。</w:t>
      </w:r>
      <w:bookmarkEnd w:id="103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若真要洗盘，会直接击穿成本区；而本例中收盘价始终高于19.5元，说明并非针对早期持仓者的清洗。</w:t>
      </w:r>
      <w:bookmarkEnd w:id="103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n"/>
          <w:i w:val="off"/>
        </w:rPr>
        <w:t>谁才是被洗的对象？</w:t>
      </w:r>
      <w:bookmarkEnd w:id="103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主力清洗的是追高进场的浮筹，尤其是那些在放量时追入的资金。</w:t>
      </w:r>
      <w:bookmarkEnd w:id="103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早期以19.6元左右买入者与主力成本接近，不在清洗范围内。</w:t>
      </w:r>
      <w:bookmarkEnd w:id="103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因此，“你的成本就是大哥的成本”，无需恐慌。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39"/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综合案例的教学价值 </w:t>
      </w:r>
      <w:bookmarkEnd w:id="104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多知识点融合应用 </w:t>
      </w:r>
      <w:bookmarkEnd w:id="104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该案例完整展示了B1、B2、B3买点、止损管理、洗盘识别、缩量突破等全部核心技术。</w:t>
      </w:r>
      <w:bookmarkEnd w:id="104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是一次“雅俗共赏”的实战教材，适合不同水平投资者学习。</w:t>
      </w:r>
      <w:bookmarkEnd w:id="104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心态与认知升级 </w:t>
      </w:r>
      <w:bookmarkEnd w:id="104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打破“我执”：不要因未参与其他涨停股而懊悔。</w:t>
      </w:r>
      <w:bookmarkEnd w:id="104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收益比较应基于现实可行性，而非幻想“换仓就能追到龙头”。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47"/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后续买点推演与系统升级 </w:t>
      </w:r>
      <w:bookmarkEnd w:id="104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新的预期买点构建 </w:t>
      </w:r>
      <w:bookmarkEnd w:id="104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若非B1位置入场，当前浮盈20%，下一步买点不应再按原位考虑。</w:t>
      </w:r>
      <w:bookmarkEnd w:id="105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新的买点包括：</w:t>
      </w:r>
      <w:bookmarkEnd w:id="1051"/>
    </w:p>
    <w:p>
      <w:pPr>
        <w:pageBreakBefore w:val="off"/>
        <w:numPr>
          <w:ilvl w:val="2"/>
          <w:numId w:val="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缩量回调后再次带量突破前高；</w:t>
      </w:r>
      <w:bookmarkEnd w:id="1052"/>
    </w:p>
    <w:p>
      <w:pPr>
        <w:pageBreakBefore w:val="off"/>
        <w:numPr>
          <w:ilvl w:val="2"/>
          <w:numId w:val="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出现SB1或B1形态；</w:t>
      </w:r>
      <w:bookmarkEnd w:id="1053"/>
    </w:p>
    <w:p>
      <w:pPr>
        <w:pageBreakBefore w:val="off"/>
        <w:numPr>
          <w:ilvl w:val="2"/>
          <w:numId w:val="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单针下探至新标准（85与30）支撑位。</w:t>
      </w:r>
      <w:bookmarkEnd w:id="105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系统参数升级说明 </w:t>
      </w:r>
      <w:bookmarkEnd w:id="105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原“单针下20”已升级为“单针下30+85”组合标准。</w:t>
      </w:r>
      <w:bookmarkEnd w:id="105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当前虽有单针下探（80, 22），但不符合新标准，故不宜贸然介入。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58"/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5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缩量突破与庄股识别 </w:t>
      </w:r>
      <w:bookmarkEnd w:id="105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缩量上涨的特殊含义 </w:t>
      </w:r>
      <w:bookmarkEnd w:id="106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缩量突破表明筹码高度集中，极可能是主力高控盘的庄股。</w:t>
      </w:r>
      <w:bookmarkEnd w:id="106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类似冠豪高新的走势模式，增量资金少，外部流动性难以介入。</w:t>
      </w:r>
      <w:bookmarkEnd w:id="106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对交易的影响 </w:t>
      </w:r>
      <w:bookmarkEnd w:id="106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庄股阶段普通投资者难以中途上车，容易被突然打压。</w:t>
      </w:r>
      <w:bookmarkEnd w:id="106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已持有者可继续跟随，因“双线战法”显示白线未破，牵牛绳仍在。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66"/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6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收益率测算与仓位管理 </w:t>
      </w:r>
      <w:bookmarkEnd w:id="106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收益表现回顾 </w:t>
      </w:r>
      <w:bookmarkEnd w:id="106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9"/>
      <w:r>
        <w:rPr>
          <w:rFonts w:ascii="宋体" w:hAnsi="宋体" w:cs="宋体" w:eastAsia="宋体"/>
          <w:sz w:val="32"/>
          <w:spacing w:val="0"/>
          <w:b w:val="off"/>
          <w:i w:val="off"/>
        </w:rPr>
        <w:t>从B1入场至后期涨幅达33%，历时42个交易日（约两个月）。</w:t>
      </w:r>
      <w:bookmarkEnd w:id="106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若投入20万（五分之一仓位），盈利约6.6万元。</w:t>
      </w:r>
      <w:bookmarkEnd w:id="107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对“这钱不赚也罢”的回应 </w:t>
      </w:r>
      <w:bookmarkEnd w:id="107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2"/>
      <w:r>
        <w:rPr>
          <w:rFonts w:ascii="宋体" w:hAnsi="宋体" w:cs="宋体" w:eastAsia="宋体"/>
          <w:sz w:val="32"/>
          <w:spacing w:val="0"/>
          <w:b w:val="off"/>
          <w:i w:val="off"/>
        </w:rPr>
        <w:t>讽刺轻视此类收益者，指出其认知局限。</w:t>
      </w:r>
      <w:bookmarkEnd w:id="107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3"/>
      <w:r>
        <w:rPr>
          <w:rFonts w:ascii="宋体" w:hAnsi="宋体" w:cs="宋体" w:eastAsia="宋体"/>
          <w:sz w:val="32"/>
          <w:spacing w:val="0"/>
          <w:b w:val="off"/>
          <w:i w:val="off"/>
        </w:rPr>
        <w:t>强调这是入门级策略即可实现的稳定回报。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74"/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7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高级别卖点识别与退出时机 </w:t>
      </w:r>
      <w:bookmarkEnd w:id="107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S1与滴滴作为离场信号 </w:t>
      </w:r>
      <w:bookmarkEnd w:id="1076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7"/>
      <w:r>
        <w:rPr>
          <w:rFonts w:ascii="宋体" w:hAnsi="宋体" w:cs="宋体" w:eastAsia="宋体"/>
          <w:sz w:val="32"/>
          <w:spacing w:val="0"/>
          <w:b w:val="off"/>
          <w:i w:val="off"/>
        </w:rPr>
        <w:t>S1出现时建议全部或大部分卖出。</w:t>
      </w:r>
      <w:bookmarkEnd w:id="107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8"/>
      <w:r>
        <w:rPr>
          <w:rFonts w:ascii="宋体" w:hAnsi="宋体" w:cs="宋体" w:eastAsia="宋体"/>
          <w:sz w:val="32"/>
          <w:spacing w:val="0"/>
          <w:b w:val="off"/>
          <w:i w:val="off"/>
        </w:rPr>
        <w:t>滴滴信号可选择卖出一半，保留底仓等待回接机会。</w:t>
      </w:r>
      <w:bookmarkEnd w:id="107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顶部无量的积极意义 </w:t>
      </w:r>
      <w:bookmarkEnd w:id="107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>顶部未见明显放量，说明抛压有限，仍有上升空间。</w:t>
      </w:r>
      <w:bookmarkEnd w:id="108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1"/>
      <w:r>
        <w:rPr>
          <w:rFonts w:ascii="宋体" w:hAnsi="宋体" w:cs="宋体" w:eastAsia="宋体"/>
          <w:sz w:val="32"/>
          <w:spacing w:val="0"/>
          <w:b w:val="off"/>
          <w:i w:val="off"/>
        </w:rPr>
        <w:t>不应因短期回调就判定行情结束。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82"/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8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B2完美入场点再现 </w:t>
      </w:r>
      <w:bookmarkEnd w:id="108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8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B2买点确认 </w:t>
      </w:r>
      <w:bookmarkEnd w:id="108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5"/>
      <w:r>
        <w:rPr>
          <w:rFonts w:ascii="宋体" w:hAnsi="宋体" w:cs="宋体" w:eastAsia="宋体"/>
          <w:sz w:val="32"/>
          <w:spacing w:val="0"/>
          <w:b w:val="off"/>
          <w:i w:val="off"/>
        </w:rPr>
        <w:t>在黄线附近出现“必吐”结构，构成理想B2入场点。</w:t>
      </w:r>
      <w:bookmarkEnd w:id="108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6"/>
      <w:r>
        <w:rPr>
          <w:rFonts w:ascii="宋体" w:hAnsi="宋体" w:cs="宋体" w:eastAsia="宋体"/>
          <w:sz w:val="32"/>
          <w:spacing w:val="0"/>
          <w:b w:val="off"/>
          <w:i w:val="off"/>
        </w:rPr>
        <w:t>可将止损设于黄线（约10%空间），风险可控。</w:t>
      </w:r>
      <w:bookmarkEnd w:id="108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8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后续表现验证 </w:t>
      </w:r>
      <w:bookmarkEnd w:id="108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8"/>
      <w:r>
        <w:rPr>
          <w:rFonts w:ascii="宋体" w:hAnsi="宋体" w:cs="宋体" w:eastAsia="宋体"/>
          <w:sz w:val="32"/>
          <w:spacing w:val="0"/>
          <w:b w:val="off"/>
          <w:i w:val="off"/>
        </w:rPr>
        <w:t>B2入场后迅速反弹，四天内上涨20%。</w:t>
      </w:r>
      <w:bookmarkEnd w:id="108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9"/>
      <w:r>
        <w:rPr>
          <w:rFonts w:ascii="宋体" w:hAnsi="宋体" w:cs="宋体" w:eastAsia="宋体"/>
          <w:sz w:val="32"/>
          <w:spacing w:val="0"/>
          <w:b w:val="off"/>
          <w:i w:val="off"/>
        </w:rPr>
        <w:t>三个月累计收益达54%，且全程无痛苦（未触止损）。</w:t>
      </w:r>
      <w:bookmarkEnd w:id="108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90"/>
      <w:bookmarkEnd w:id="109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9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最终爆发与认知兑现 </w:t>
      </w:r>
      <w:bookmarkEnd w:id="109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9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翻倍行情的到来 </w:t>
      </w:r>
      <w:bookmarkEnd w:id="1092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93"/>
      <w:r>
        <w:rPr>
          <w:rFonts w:ascii="宋体" w:hAnsi="宋体" w:cs="宋体" w:eastAsia="宋体"/>
          <w:sz w:val="32"/>
          <w:spacing w:val="0"/>
          <w:b w:val="off"/>
          <w:i w:val="off"/>
        </w:rPr>
        <w:t>后续出现莫名其妙的15%、20%大阳线，最终实现翻倍。</w:t>
      </w:r>
      <w:bookmarkEnd w:id="109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94"/>
      <w:r>
        <w:rPr>
          <w:rFonts w:ascii="宋体" w:hAnsi="宋体" w:cs="宋体" w:eastAsia="宋体"/>
          <w:sz w:val="32"/>
          <w:spacing w:val="0"/>
          <w:b w:val="off"/>
          <w:i w:val="off"/>
        </w:rPr>
        <w:t>所有看似“巧合”的走势，实则是技术体系的必然结果。</w:t>
      </w:r>
      <w:bookmarkEnd w:id="109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9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红三兵形态辨析 </w:t>
      </w:r>
      <w:bookmarkEnd w:id="109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96"/>
      <w:r>
        <w:rPr>
          <w:rFonts w:ascii="宋体" w:hAnsi="宋体" w:cs="宋体" w:eastAsia="宋体"/>
          <w:sz w:val="32"/>
          <w:spacing w:val="0"/>
          <w:b w:val="off"/>
          <w:i w:val="off"/>
        </w:rPr>
        <w:t>虽有三连阳，但其中一根为阴线（+0.62%），不符合经典“红三兵”定义。</w:t>
      </w:r>
      <w:bookmarkEnd w:id="109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97"/>
      <w:r>
        <w:rPr>
          <w:rFonts w:ascii="宋体" w:hAnsi="宋体" w:cs="宋体" w:eastAsia="宋体"/>
          <w:sz w:val="32"/>
          <w:spacing w:val="0"/>
          <w:b w:val="off"/>
          <w:i w:val="off"/>
        </w:rPr>
        <w:t>可称“红三军”或“红三将”以示区分。</w:t>
      </w:r>
      <w:bookmarkEnd w:id="109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98"/>
      <w:bookmarkEnd w:id="109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9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总结与升华 </w:t>
      </w:r>
      <w:bookmarkEnd w:id="109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10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知行合一的力量 </w:t>
      </w:r>
      <w:bookmarkEnd w:id="110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01"/>
      <w:r>
        <w:rPr>
          <w:rFonts w:ascii="宋体" w:hAnsi="宋体" w:cs="宋体" w:eastAsia="宋体"/>
          <w:sz w:val="32"/>
          <w:spacing w:val="0"/>
          <w:b w:val="off"/>
          <w:i w:val="off"/>
        </w:rPr>
        <w:t>每一步“莫名其妙”的上涨都源于背后的知识体系与纪律执行。</w:t>
      </w:r>
      <w:bookmarkEnd w:id="110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02"/>
      <w:r>
        <w:rPr>
          <w:rFonts w:ascii="宋体" w:hAnsi="宋体" w:cs="宋体" w:eastAsia="宋体"/>
          <w:sz w:val="32"/>
          <w:spacing w:val="0"/>
          <w:b w:val="off"/>
          <w:i w:val="off"/>
        </w:rPr>
        <w:t>成功=认知 × 策略 × 心态。</w:t>
      </w:r>
      <w:bookmarkEnd w:id="110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1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交易哲学提炼 </w:t>
      </w:r>
      <w:bookmarkEnd w:id="110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04"/>
      <w:r>
        <w:rPr>
          <w:rFonts w:ascii="宋体" w:hAnsi="宋体" w:cs="宋体" w:eastAsia="宋体"/>
          <w:sz w:val="32"/>
          <w:spacing w:val="0"/>
          <w:b w:val="off"/>
          <w:i w:val="off"/>
        </w:rPr>
        <w:t>没有人能完美地切入每一个主升浪。</w:t>
      </w:r>
      <w:bookmarkEnd w:id="110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05"/>
      <w:r>
        <w:rPr>
          <w:rFonts w:ascii="宋体" w:hAnsi="宋体" w:cs="宋体" w:eastAsia="宋体"/>
          <w:sz w:val="32"/>
          <w:spacing w:val="0"/>
          <w:b w:val="off"/>
          <w:i w:val="off"/>
        </w:rPr>
        <w:t>所有成功交易都是“在不完美的位置进入一个未来可能完美的走势”。</w:t>
      </w:r>
      <w:bookmarkEnd w:id="110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10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对年轻一代的期许 </w:t>
      </w:r>
      <w:bookmarkEnd w:id="110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07"/>
      <w:r>
        <w:rPr>
          <w:rFonts w:ascii="宋体" w:hAnsi="宋体" w:cs="宋体" w:eastAsia="宋体"/>
          <w:sz w:val="32"/>
          <w:spacing w:val="0"/>
          <w:b w:val="off"/>
          <w:i w:val="off"/>
        </w:rPr>
        <w:t>鼓励敢于在高控盘股中捕捉单针下30机会的年轻人。</w:t>
      </w:r>
      <w:bookmarkEnd w:id="110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08"/>
      <w:r>
        <w:rPr>
          <w:rFonts w:ascii="宋体" w:hAnsi="宋体" w:cs="宋体" w:eastAsia="宋体"/>
          <w:sz w:val="32"/>
          <w:spacing w:val="0"/>
          <w:b w:val="off"/>
          <w:i w:val="off"/>
        </w:rPr>
        <w:t>“富贵险中求”，世界终究属于敢想敢干的人。</w:t>
      </w:r>
      <w:bookmarkEnd w:id="1108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2026-01-14T23:39:00Z</dcterms:created>
  <dc:creator>Apache POI</dc:creator>
</cp:coreProperties>
</file>