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本视频讲述了股票投资中关于确定性机会、S1信号识别、防守型持仓策略及市场情绪博弈的实战经验分享，强调关注核心板块轮动、主力资金动向与操作心态管理的重要性。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7226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03"/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投资中的确定性机会与成本优势 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早期买入逻辑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在2024年初价格低于20时建议随意买入，因当时判断具备高确定性。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>实际操作回顾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价格一度跌至12块多，但基于“剃头成本已付”理念持有不动。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n"/>
          <w:i w:val="off"/>
        </w:rPr>
        <w:t>确定性概念强调</w:t>
      </w:r>
      <w:bookmarkEnd w:id="100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反复提及“这就是确定性”，并指出阿勉、勉王等案例均体现该原则。</w:t>
      </w:r>
      <w:bookmarkEnd w:id="100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强调不显山露水的机会才是真确定性。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10"/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S1信号的识别与应对策略 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S1定义与价值 </w:t>
      </w:r>
      <w:bookmarkEnd w:id="1012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S1是上涨波段中关键转折点，通常伴随放量大绿棒或顶部大风车形态。</w:t>
      </w:r>
      <w:bookmarkEnd w:id="1013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出现标准S1后应减仓主仓，避免后续波动导致收益回吐。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S1后的市场行为分析 </w:t>
      </w:r>
      <w:bookmarkEnd w:id="101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若次日翻红或走小圆弧回升，则趋势仍强；若直接跳空跌停，则风险加剧。</w:t>
      </w:r>
      <w:bookmarkEnd w:id="101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收假阴真阳线说明承接盘多于卖出盘，但仍需警惕巨量出货。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鱼尾行情处理 </w:t>
      </w:r>
      <w:bookmarkEnd w:id="101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S1之后的冲高属于“搏命”阶段，非稳健投资者不宜参与。</w:t>
      </w:r>
      <w:bookmarkEnd w:id="1019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建议至少退出80%仓位，仅留20%博弈尾部收益。</w:t>
      </w:r>
      <w:bookmarkEnd w:id="102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实战案例：某标的见顶过程 </w:t>
      </w:r>
      <w:bookmarkEnd w:id="1021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连续三根阳线后出现接近涨停的诱多K线，但因成交量不足（不够5.76%）被判定为虚假突破。</w:t>
      </w:r>
      <w:bookmarkEnd w:id="1022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后续连续A杀验证S1有效性，强调“一定要记住S一的价值”。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24"/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交易心态与实盘复盘的重要性 </w:t>
      </w:r>
      <w:bookmarkEnd w:id="102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实盘即期末考试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每个人的操作结果反映其知识掌握程度和心理素质。</w:t>
      </w:r>
      <w:bookmarkEnd w:id="102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扛跌能力考验 </w:t>
      </w:r>
      <w:bookmarkEnd w:id="102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能否忍受短期跌停取决于对底部结构的信心。</w:t>
      </w:r>
      <w:bookmarkEnd w:id="102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关键支撑位为收盘价不跌破前低。</w:t>
      </w:r>
      <w:bookmarkEnd w:id="102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主力与散户博弈视角 </w:t>
      </w:r>
      <w:bookmarkEnd w:id="103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不同阶段由不同资金群体获利：初期为先知先觉者，中期为坚定持有者，末期为搏命资金。</w:t>
      </w:r>
      <w:bookmarkEnd w:id="103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牛逼的人在S1后仍不走，敢于承受回调以拿足利润。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33"/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足球战术类比投资策略 </w:t>
      </w:r>
      <w:bookmarkEnd w:id="103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中国足球成功经验总结 </w:t>
      </w:r>
      <w:bookmarkEnd w:id="103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历史上有效战术为“防守反击”：敌进我退、敌疲我扰。</w:t>
      </w:r>
      <w:bookmarkEnd w:id="103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米卢带队成绩好因其因材施教，而非固定战术。</w:t>
      </w:r>
      <w:bookmarkEnd w:id="103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U23亚洲杯表现印证 </w:t>
      </w:r>
      <w:bookmarkEnd w:id="103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本届U23取得历史最佳战绩，靠的是务实防守反击打法。</w:t>
      </w:r>
      <w:bookmarkEnd w:id="103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即使多打一人也未盲目进攻，体现纪律性。</w:t>
      </w:r>
      <w:bookmarkEnd w:id="104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国歌启示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“用我们的血肉筑成我们新的长城”强调防守基础的重要性。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42"/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NBA防守哲学映射投资风控 </w:t>
      </w:r>
      <w:bookmarkEnd w:id="104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总冠军始于防守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波波维奇、菲尔·杰克逊等名帅均认为夺冠必须从防守做起。</w:t>
      </w:r>
      <w:bookmarkEnd w:id="104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常规赛与季后赛差异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夸张进攻难以持续，真正强队注重攻守平衡。</w:t>
      </w:r>
      <w:bookmarkEnd w:id="104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应用到投资领域 </w:t>
      </w:r>
      <w:bookmarkEnd w:id="104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想赚钱先做好风险管控，如同球队先建立稳固防守。</w:t>
      </w:r>
      <w:bookmarkEnd w:id="1047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投资组合中需有“防守型资产”作为基石。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49"/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构建防守型投资阵容 </w:t>
      </w:r>
      <w:bookmarkEnd w:id="105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后场稳定性的意义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中后场防守稳固才能保证整体不失控。</w:t>
      </w:r>
      <w:bookmarkEnd w:id="105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半仓白酒案例分析 </w:t>
      </w:r>
      <w:bookmarkEnd w:id="105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半仓持有白酒下跌10%，总账户仅回撤5%，影响有限。</w:t>
      </w:r>
      <w:bookmarkEnd w:id="105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对比频繁轮动半导体、固态电池等热点，易造成“一顿操作猛如虎，一下亏50%”。</w:t>
      </w:r>
      <w:bookmarkEnd w:id="105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底仓配置思路 </w:t>
      </w:r>
      <w:bookmarkEnd w:id="105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将券商、白酒等置于左侧，视为“福登”式防守型边锋。</w:t>
      </w:r>
      <w:bookmarkEnd w:id="105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知道其下限（如破净）即可安心持有，等待爆发。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58"/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5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非银金融板块深度解析 </w:t>
      </w:r>
      <w:bookmarkEnd w:id="105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风向标作用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某券商为非银金融板块历来风向标，单日成交额达36.6亿。</w:t>
      </w:r>
      <w:bookmarkEnd w:id="106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量能变化解读 </w:t>
      </w:r>
      <w:bookmarkEnd w:id="106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巨量放出后若接半量震荡，表明“大哥没走”。</w:t>
      </w:r>
      <w:bookmarkEnd w:id="106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若缩量明显且无法补量，则意味主力部分离场。</w:t>
      </w:r>
      <w:bookmarkEnd w:id="106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当前市场位置判断 </w:t>
      </w:r>
      <w:bookmarkEnd w:id="106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上方压力位画在4190点，预计春节前后维持区间震荡。</w:t>
      </w:r>
      <w:bookmarkEnd w:id="106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非银金融成为政策工具，用于调节市场情绪。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67"/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6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未来两种可能走势推演 </w:t>
      </w:r>
      <w:bookmarkEnd w:id="106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第一种：意思意思型反弹 </w:t>
      </w:r>
      <w:bookmarkEnd w:id="106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市场低迷时拉一两根阳线“意思意思”，引导散户入场。</w:t>
      </w:r>
      <w:bookmarkEnd w:id="107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散户响应后大盘恢复“有点意思”。</w:t>
      </w:r>
      <w:bookmarkEnd w:id="107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第二种：厚积薄发型启动 </w:t>
      </w:r>
      <w:bookmarkEnd w:id="107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3"/>
      <w:r>
        <w:rPr>
          <w:rFonts w:ascii="宋体" w:hAnsi="宋体" w:cs="宋体" w:eastAsia="宋体"/>
          <w:sz w:val="32"/>
          <w:spacing w:val="0"/>
          <w:b w:val="off"/>
          <w:i w:val="off"/>
        </w:rPr>
        <w:t>当其他主线轮动完毕、光刻机未突破、商业航天未盈利时，资金回流低估值板块。</w:t>
      </w:r>
      <w:bookmarkEnd w:id="107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4"/>
      <w:r>
        <w:rPr>
          <w:rFonts w:ascii="宋体" w:hAnsi="宋体" w:cs="宋体" w:eastAsia="宋体"/>
          <w:sz w:val="32"/>
          <w:spacing w:val="0"/>
          <w:b w:val="off"/>
          <w:i w:val="off"/>
        </w:rPr>
        <w:t>此时券商可能迎来三连阳级别行情，完成周KPM任务。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75"/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7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买入后走势的正确认知 </w:t>
      </w:r>
      <w:bookmarkEnd w:id="107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N型结构认知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股票上涨呈N型：低点→拉升→回调→再创新高。</w:t>
      </w:r>
      <w:bookmarkEnd w:id="107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回调与出货的区别 </w:t>
      </w:r>
      <w:bookmarkEnd w:id="107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79"/>
      <w:r>
        <w:rPr>
          <w:rFonts w:ascii="宋体" w:hAnsi="宋体" w:cs="宋体" w:eastAsia="宋体"/>
          <w:sz w:val="32"/>
          <w:spacing w:val="0"/>
          <w:b w:val="off"/>
          <w:i w:val="off"/>
        </w:rPr>
        <w:t>回调不破前低属正常现象，不应恐慌。</w:t>
      </w:r>
      <w:bookmarkEnd w:id="107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>主力出货表现为放量跌破关键支撑。</w:t>
      </w:r>
      <w:bookmarkEnd w:id="108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8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入场节奏决定心态 </w:t>
      </w:r>
      <w:bookmarkEnd w:id="108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2"/>
      <w:r>
        <w:rPr>
          <w:rFonts w:ascii="宋体" w:hAnsi="宋体" w:cs="宋体" w:eastAsia="宋体"/>
          <w:sz w:val="32"/>
          <w:spacing w:val="0"/>
          <w:b w:val="off"/>
          <w:i w:val="off"/>
        </w:rPr>
        <w:t>买在B1点者可坦然面对回调。</w:t>
      </w:r>
      <w:bookmarkEnd w:id="108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83"/>
      <w:r>
        <w:rPr>
          <w:rFonts w:ascii="宋体" w:hAnsi="宋体" w:cs="宋体" w:eastAsia="宋体"/>
          <w:sz w:val="32"/>
          <w:spacing w:val="0"/>
          <w:b w:val="off"/>
          <w:i w:val="off"/>
        </w:rPr>
        <w:t>买在高位者易将正常回调误判为暴跌，源于节奏错误。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84"/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8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总结与提醒 </w:t>
      </w:r>
      <w:bookmarkEnd w:id="108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86"/>
      <w:r>
        <w:rPr>
          <w:rFonts w:ascii="宋体" w:hAnsi="宋体" w:cs="宋体" w:eastAsia="宋体"/>
          <w:sz w:val="32"/>
          <w:spacing w:val="0"/>
          <w:b w:val="on"/>
          <w:i w:val="off"/>
        </w:rPr>
        <w:t>重申持仓逻辑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券商为其第二大重仓，非因推荐，而是基于业绩预期与估值便宜。</w:t>
      </w:r>
      <w:bookmarkEnd w:id="108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87"/>
      <w:r>
        <w:rPr>
          <w:rFonts w:ascii="宋体" w:hAnsi="宋体" w:cs="宋体" w:eastAsia="宋体"/>
          <w:sz w:val="32"/>
          <w:spacing w:val="0"/>
          <w:b w:val="on"/>
          <w:i w:val="off"/>
        </w:rPr>
        <w:t>免责声明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不推荐任何个股，所有分析仅为解释自身持仓逻辑。</w:t>
      </w:r>
      <w:bookmarkEnd w:id="108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88"/>
      <w:r>
        <w:rPr>
          <w:rFonts w:ascii="宋体" w:hAnsi="宋体" w:cs="宋体" w:eastAsia="宋体"/>
          <w:sz w:val="32"/>
          <w:spacing w:val="0"/>
          <w:b w:val="on"/>
          <w:i w:val="off"/>
        </w:rPr>
        <w:t>防喷预警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提醒观众勿将其分析误解为荐股，盈亏自负。</w:t>
      </w:r>
      <w:bookmarkEnd w:id="1088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2026-01-21T23:01:10Z</dcterms:created>
  <dc:creator>Apache POI</dc:creator>
</cp:coreProperties>
</file>