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wordWrap w:val="on"/>
        <w:spacing w:before="160" w:after="0"/>
        <w:ind w:left="0" w:right="0"/>
        <w:jc w:val="both"/>
        <w:textAlignment w:val="auto"/>
        <w:rPr>
          <w:sz w:val="32"/>
        </w:rPr>
      </w:pPr>
      <w:bookmarkStart w:name="" w:id="1001"/>
      <w:r>
        <w:rPr>
          <w:rFonts w:ascii="宋体" w:hAnsi="宋体" w:cs="宋体" w:eastAsia="宋体"/>
          <w:sz w:val="32"/>
          <w:spacing w:val="0"/>
          <w:b w:val="off"/>
          <w:i w:val="off"/>
        </w:rPr>
        <w:t>本视频讲述了股票交易中买入后如何应对不同走势的心理预期与操作策略，重点解析了N型结构下的买点选择、止损设置及回调阶段的应对方法，强调在上涨波段中应避免因短期波动而过早卖出，以提升盈利空间。</w:t>
      </w:r>
      <w:bookmarkEnd w:id="1001"/>
    </w:p>
    <w:p>
      <w:pPr>
        <w:pageBreakBefore w:val="off"/>
        <w:tabs/>
        <w:wordWrap w:val="on"/>
        <w:spacing w:before="160" w:after="0"/>
        <w:ind w:left="0" w:right="0"/>
        <w:jc w:val="left"/>
        <w:textAlignment w:val="auto"/>
      </w:pPr>
      <w:bookmarkStart w:name="" w:id="1002"/>
      <w:r>
        <w:drawing>
          <wp:inline distL="0" distR="0" distT="0" distB="0">
            <wp:extent cx="7556500" cy="88646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4"/>
                    <a:stretch>
                      <a:fillRect/>
                    </a:stretch>
                  </pic:blipFill>
                  <pic:spPr>
                    <a:xfrm>
                      <a:off x="0" y="0"/>
                      <a:ext cx="7556500" cy="8864600"/>
                    </a:xfrm>
                    <a:prstGeom prst="rect">
                      <a:avLst/>
                    </a:prstGeom>
                  </pic:spPr>
                </pic:pic>
              </a:graphicData>
            </a:graphic>
          </wp:inline>
        </w:drawing>
      </w:r>
      <w:bookmarkEnd w:id="1002"/>
    </w:p>
    <w:p>
      <w:pPr>
        <w:pageBreakBefore w:val="off"/>
        <w:tabs/>
        <w:wordWrap w:val="on"/>
        <w:spacing w:before="160" w:after="0"/>
        <w:ind w:left="0" w:right="0"/>
        <w:jc w:val="both"/>
        <w:textAlignment w:val="auto"/>
        <w:rPr/>
      </w:pPr>
      <w:bookmarkStart w:name="" w:id="1003"/>
      <w:bookmarkEnd w:id="1003"/>
    </w:p>
    <w:p>
      <w:pPr>
        <w:pageBreakBefore w:val="off"/>
        <w:numPr>
          <w:ilvl w:val="0"/>
          <w:numId w:val="1"/>
        </w:numPr>
        <w:tabs/>
        <w:wordWrap w:val="on"/>
        <w:spacing w:before="160" w:after="0"/>
        <w:ind w:left="440" w:right="0" w:hanging="440"/>
        <w:jc w:val="left"/>
        <w:textAlignment w:val="auto"/>
        <w:rPr>
          <w:sz w:val="32"/>
        </w:rPr>
      </w:pPr>
      <w:bookmarkStart w:name="" w:id="1004"/>
      <w:r>
        <w:rPr>
          <w:rFonts w:ascii="宋体" w:hAnsi="宋体" w:cs="宋体" w:eastAsia="宋体"/>
          <w:sz w:val="32"/>
          <w:spacing w:val="0"/>
          <w:b w:val="on"/>
          <w:i w:val="off"/>
        </w:rPr>
        <w:t xml:space="preserve">出货与放量讨论 </w:t>
      </w:r>
      <w:bookmarkEnd w:id="1004"/>
    </w:p>
    <w:p>
      <w:pPr>
        <w:pageBreakBefore w:val="off"/>
        <w:numPr>
          <w:ilvl w:val="1"/>
          <w:numId w:val="1"/>
        </w:numPr>
        <w:tabs/>
        <w:wordWrap w:val="on"/>
        <w:spacing w:before="160" w:after="0"/>
        <w:ind w:left="880" w:right="0" w:hanging="440"/>
        <w:jc w:val="left"/>
        <w:textAlignment w:val="auto"/>
        <w:rPr>
          <w:sz w:val="32"/>
        </w:rPr>
      </w:pPr>
      <w:bookmarkStart w:name="" w:id="1005"/>
      <w:r>
        <w:rPr>
          <w:rFonts w:ascii="宋体" w:hAnsi="宋体" w:cs="宋体" w:eastAsia="宋体"/>
          <w:sz w:val="32"/>
          <w:spacing w:val="0"/>
          <w:b w:val="off"/>
          <w:i w:val="off"/>
        </w:rPr>
        <w:t>交易初期提及“出货”和“放量”现象，指出市场对图形信号的关注。</w:t>
      </w:r>
      <w:bookmarkEnd w:id="1005"/>
    </w:p>
    <w:p>
      <w:pPr>
        <w:pageBreakBefore w:val="off"/>
        <w:numPr>
          <w:ilvl w:val="1"/>
          <w:numId w:val="1"/>
        </w:numPr>
        <w:tabs/>
        <w:wordWrap w:val="on"/>
        <w:spacing w:before="160" w:after="0"/>
        <w:ind w:left="880" w:right="0" w:hanging="440"/>
        <w:jc w:val="left"/>
        <w:textAlignment w:val="auto"/>
        <w:rPr>
          <w:sz w:val="32"/>
        </w:rPr>
      </w:pPr>
      <w:bookmarkStart w:name="" w:id="1006"/>
      <w:r>
        <w:rPr>
          <w:rFonts w:ascii="宋体" w:hAnsi="宋体" w:cs="宋体" w:eastAsia="宋体"/>
          <w:sz w:val="32"/>
          <w:spacing w:val="0"/>
          <w:b w:val="off"/>
          <w:i w:val="off"/>
        </w:rPr>
        <w:t>强调部分参与者未理解图表信息，“没图”成为争议点，实际监控已有图示。</w:t>
      </w:r>
      <w:bookmarkEnd w:id="1006"/>
    </w:p>
    <w:p>
      <w:pPr>
        <w:pageBreakBefore w:val="off"/>
        <w:numPr>
          <w:ilvl w:val="0"/>
          <w:numId w:val="1"/>
        </w:numPr>
        <w:tabs/>
        <w:wordWrap w:val="on"/>
        <w:spacing w:before="160" w:after="0"/>
        <w:ind w:left="440" w:right="0" w:hanging="440"/>
        <w:jc w:val="left"/>
        <w:textAlignment w:val="auto"/>
        <w:rPr>
          <w:sz w:val="32"/>
        </w:rPr>
      </w:pPr>
      <w:bookmarkStart w:name="" w:id="1007"/>
      <w:r>
        <w:rPr>
          <w:rFonts w:ascii="宋体" w:hAnsi="宋体" w:cs="宋体" w:eastAsia="宋体"/>
          <w:sz w:val="32"/>
          <w:spacing w:val="0"/>
          <w:b w:val="on"/>
          <w:i w:val="off"/>
        </w:rPr>
        <w:t xml:space="preserve">直播间纪律与节奏控制 </w:t>
      </w:r>
      <w:bookmarkEnd w:id="1007"/>
    </w:p>
    <w:p>
      <w:pPr>
        <w:pageBreakBefore w:val="off"/>
        <w:numPr>
          <w:ilvl w:val="1"/>
          <w:numId w:val="1"/>
        </w:numPr>
        <w:tabs/>
        <w:wordWrap w:val="on"/>
        <w:spacing w:before="160" w:after="0"/>
        <w:ind w:left="880" w:right="0" w:hanging="440"/>
        <w:jc w:val="left"/>
        <w:textAlignment w:val="auto"/>
        <w:rPr>
          <w:sz w:val="32"/>
        </w:rPr>
      </w:pPr>
      <w:bookmarkStart w:name="" w:id="1008"/>
      <w:r>
        <w:rPr>
          <w:rFonts w:ascii="宋体" w:hAnsi="宋体" w:cs="宋体" w:eastAsia="宋体"/>
          <w:sz w:val="32"/>
          <w:spacing w:val="0"/>
          <w:b w:val="off"/>
          <w:i w:val="off"/>
        </w:rPr>
        <w:t>明确直播间规则：禁止随意发言以免干扰主讲人节奏。</w:t>
      </w:r>
      <w:bookmarkEnd w:id="1008"/>
    </w:p>
    <w:p>
      <w:pPr>
        <w:pageBreakBefore w:val="off"/>
        <w:numPr>
          <w:ilvl w:val="1"/>
          <w:numId w:val="1"/>
        </w:numPr>
        <w:tabs/>
        <w:wordWrap w:val="on"/>
        <w:spacing w:before="160" w:after="0"/>
        <w:ind w:left="880" w:right="0" w:hanging="440"/>
        <w:jc w:val="left"/>
        <w:textAlignment w:val="auto"/>
        <w:rPr>
          <w:sz w:val="32"/>
        </w:rPr>
      </w:pPr>
      <w:bookmarkStart w:name="" w:id="1009"/>
      <w:r>
        <w:rPr>
          <w:rFonts w:ascii="宋体" w:hAnsi="宋体" w:cs="宋体" w:eastAsia="宋体"/>
          <w:sz w:val="32"/>
          <w:spacing w:val="0"/>
          <w:b w:val="off"/>
          <w:i w:val="off"/>
        </w:rPr>
        <w:t>解释若中途插话可能导致讲解时间从五分钟延长至两小时，影响整体效率。</w:t>
      </w:r>
      <w:bookmarkEnd w:id="1009"/>
    </w:p>
    <w:p>
      <w:pPr>
        <w:pageBreakBefore w:val="off"/>
        <w:numPr>
          <w:ilvl w:val="1"/>
          <w:numId w:val="1"/>
        </w:numPr>
        <w:tabs/>
        <w:wordWrap w:val="on"/>
        <w:spacing w:before="160" w:after="0"/>
        <w:ind w:left="880" w:right="0" w:hanging="440"/>
        <w:jc w:val="left"/>
        <w:textAlignment w:val="auto"/>
        <w:rPr>
          <w:sz w:val="32"/>
        </w:rPr>
      </w:pPr>
      <w:bookmarkStart w:name="" w:id="1010"/>
      <w:r>
        <w:rPr>
          <w:rFonts w:ascii="宋体" w:hAnsi="宋体" w:cs="宋体" w:eastAsia="宋体"/>
          <w:sz w:val="32"/>
          <w:spacing w:val="0"/>
          <w:b w:val="off"/>
          <w:i w:val="off"/>
        </w:rPr>
        <w:t>提醒观众不要在未确认击穿前因看不懂成交量而情绪化骂街。</w:t>
      </w:r>
      <w:bookmarkEnd w:id="1010"/>
    </w:p>
    <w:p>
      <w:pPr>
        <w:pageBreakBefore w:val="off"/>
        <w:numPr>
          <w:ilvl w:val="0"/>
          <w:numId w:val="1"/>
        </w:numPr>
        <w:tabs/>
        <w:wordWrap w:val="on"/>
        <w:spacing w:before="160" w:after="0"/>
        <w:ind w:left="440" w:right="0" w:hanging="440"/>
        <w:jc w:val="left"/>
        <w:textAlignment w:val="auto"/>
        <w:rPr>
          <w:sz w:val="32"/>
        </w:rPr>
      </w:pPr>
      <w:bookmarkStart w:name="" w:id="1011"/>
      <w:r>
        <w:rPr>
          <w:rFonts w:ascii="宋体" w:hAnsi="宋体" w:cs="宋体" w:eastAsia="宋体"/>
          <w:sz w:val="32"/>
          <w:spacing w:val="0"/>
          <w:b w:val="on"/>
          <w:i w:val="off"/>
        </w:rPr>
        <w:t xml:space="preserve">N型结构与盈亏比优化 </w:t>
      </w:r>
      <w:bookmarkEnd w:id="1011"/>
    </w:p>
    <w:p>
      <w:pPr>
        <w:pageBreakBefore w:val="off"/>
        <w:numPr>
          <w:ilvl w:val="1"/>
          <w:numId w:val="1"/>
        </w:numPr>
        <w:tabs/>
        <w:wordWrap w:val="on"/>
        <w:spacing w:before="160" w:after="0"/>
        <w:ind w:left="880" w:right="0" w:hanging="440"/>
        <w:jc w:val="left"/>
        <w:textAlignment w:val="auto"/>
        <w:rPr>
          <w:sz w:val="32"/>
        </w:rPr>
      </w:pPr>
      <w:bookmarkStart w:name="" w:id="1012"/>
      <w:r>
        <w:rPr>
          <w:rFonts w:ascii="宋体" w:hAnsi="宋体" w:cs="宋体" w:eastAsia="宋体"/>
          <w:sz w:val="32"/>
          <w:spacing w:val="0"/>
          <w:b w:val="off"/>
          <w:i w:val="off"/>
        </w:rPr>
        <w:t>核心交易理念为在N型结构的第一位置（B1）或第二位置（B2）入场，以获得最大盈亏比。</w:t>
      </w:r>
      <w:bookmarkEnd w:id="1012"/>
    </w:p>
    <w:p>
      <w:pPr>
        <w:pageBreakBefore w:val="off"/>
        <w:numPr>
          <w:ilvl w:val="1"/>
          <w:numId w:val="1"/>
        </w:numPr>
        <w:tabs/>
        <w:wordWrap w:val="on"/>
        <w:spacing w:before="160" w:after="0"/>
        <w:ind w:left="880" w:right="0" w:hanging="440"/>
        <w:jc w:val="left"/>
        <w:textAlignment w:val="auto"/>
        <w:rPr>
          <w:sz w:val="32"/>
        </w:rPr>
      </w:pPr>
      <w:bookmarkStart w:name="" w:id="1013"/>
      <w:r>
        <w:rPr>
          <w:rFonts w:ascii="宋体" w:hAnsi="宋体" w:cs="宋体" w:eastAsia="宋体"/>
          <w:sz w:val="32"/>
          <w:spacing w:val="0"/>
          <w:b w:val="off"/>
          <w:i w:val="off"/>
        </w:rPr>
        <w:t>典型三倍盈亏比结构：下跌一段后反弹三段，防守反击策略下亏损仅一小段距离。</w:t>
      </w:r>
      <w:bookmarkEnd w:id="1013"/>
    </w:p>
    <w:p>
      <w:pPr>
        <w:pageBreakBefore w:val="off"/>
        <w:numPr>
          <w:ilvl w:val="1"/>
          <w:numId w:val="1"/>
        </w:numPr>
        <w:tabs/>
        <w:wordWrap w:val="on"/>
        <w:spacing w:before="160" w:after="0"/>
        <w:ind w:left="880" w:right="0" w:hanging="440"/>
        <w:jc w:val="left"/>
        <w:textAlignment w:val="auto"/>
        <w:rPr>
          <w:sz w:val="32"/>
        </w:rPr>
      </w:pPr>
      <w:bookmarkStart w:name="" w:id="1014"/>
      <w:r>
        <w:rPr>
          <w:rFonts w:ascii="宋体" w:hAnsi="宋体" w:cs="宋体" w:eastAsia="宋体"/>
          <w:sz w:val="32"/>
          <w:spacing w:val="0"/>
          <w:b w:val="off"/>
          <w:i w:val="off"/>
        </w:rPr>
        <w:t>若错过B1/B2，追高买入易导致回调时心理失衡。</w:t>
      </w:r>
      <w:bookmarkEnd w:id="1014"/>
    </w:p>
    <w:p>
      <w:pPr>
        <w:pageBreakBefore w:val="off"/>
        <w:numPr>
          <w:ilvl w:val="0"/>
          <w:numId w:val="1"/>
        </w:numPr>
        <w:tabs/>
        <w:wordWrap w:val="on"/>
        <w:spacing w:before="160" w:after="0"/>
        <w:ind w:left="440" w:right="0" w:hanging="440"/>
        <w:jc w:val="left"/>
        <w:textAlignment w:val="auto"/>
        <w:rPr>
          <w:sz w:val="32"/>
        </w:rPr>
      </w:pPr>
      <w:bookmarkStart w:name="" w:id="1015"/>
      <w:r>
        <w:rPr>
          <w:rFonts w:ascii="宋体" w:hAnsi="宋体" w:cs="宋体" w:eastAsia="宋体"/>
          <w:sz w:val="32"/>
          <w:spacing w:val="0"/>
          <w:b w:val="on"/>
          <w:i w:val="off"/>
        </w:rPr>
        <w:t xml:space="preserve">买入后的三种典型走势分析 </w:t>
      </w:r>
      <w:bookmarkEnd w:id="1015"/>
    </w:p>
    <w:p>
      <w:pPr>
        <w:pageBreakBefore w:val="off"/>
        <w:numPr>
          <w:ilvl w:val="1"/>
          <w:numId w:val="1"/>
        </w:numPr>
        <w:tabs/>
        <w:wordWrap w:val="on"/>
        <w:spacing w:before="160" w:after="0"/>
        <w:ind w:left="880" w:right="0" w:hanging="440"/>
        <w:jc w:val="left"/>
        <w:textAlignment w:val="auto"/>
        <w:rPr>
          <w:sz w:val="32"/>
        </w:rPr>
      </w:pPr>
      <w:bookmarkStart w:name="" w:id="1016"/>
      <w:r>
        <w:rPr>
          <w:rFonts w:ascii="宋体" w:hAnsi="宋体" w:cs="宋体" w:eastAsia="宋体"/>
          <w:sz w:val="32"/>
          <w:spacing w:val="0"/>
          <w:b w:val="on"/>
          <w:i w:val="off"/>
        </w:rPr>
        <w:t xml:space="preserve">第一种走势：先涨再跌再涨 </w:t>
      </w:r>
      <w:bookmarkEnd w:id="1016"/>
    </w:p>
    <w:p>
      <w:pPr>
        <w:pageBreakBefore w:val="off"/>
        <w:numPr>
          <w:ilvl w:val="2"/>
          <w:numId w:val="1"/>
        </w:numPr>
        <w:tabs/>
        <w:wordWrap w:val="on"/>
        <w:spacing w:before="160" w:after="0"/>
        <w:ind w:left="1320" w:right="0" w:hanging="440"/>
        <w:jc w:val="left"/>
        <w:textAlignment w:val="auto"/>
        <w:rPr>
          <w:sz w:val="32"/>
        </w:rPr>
      </w:pPr>
      <w:bookmarkStart w:name="" w:id="1017"/>
      <w:r>
        <w:rPr>
          <w:rFonts w:ascii="宋体" w:hAnsi="宋体" w:cs="宋体" w:eastAsia="宋体"/>
          <w:sz w:val="32"/>
          <w:spacing w:val="0"/>
          <w:b w:val="off"/>
          <w:i w:val="off"/>
        </w:rPr>
        <w:t>买入后立即上涨，随后经历回调再回升。</w:t>
      </w:r>
      <w:bookmarkEnd w:id="1017"/>
    </w:p>
    <w:p>
      <w:pPr>
        <w:pageBreakBefore w:val="off"/>
        <w:numPr>
          <w:ilvl w:val="2"/>
          <w:numId w:val="1"/>
        </w:numPr>
        <w:tabs/>
        <w:wordWrap w:val="on"/>
        <w:spacing w:before="160" w:after="0"/>
        <w:ind w:left="1320" w:right="0" w:hanging="440"/>
        <w:jc w:val="left"/>
        <w:textAlignment w:val="auto"/>
        <w:rPr>
          <w:sz w:val="32"/>
        </w:rPr>
      </w:pPr>
      <w:bookmarkStart w:name="" w:id="1018"/>
      <w:r>
        <w:rPr>
          <w:rFonts w:ascii="宋体" w:hAnsi="宋体" w:cs="宋体" w:eastAsia="宋体"/>
          <w:sz w:val="32"/>
          <w:spacing w:val="0"/>
          <w:b w:val="off"/>
          <w:i w:val="off"/>
        </w:rPr>
        <w:t>回调阶段不应恐慌，需判断是否破前低，缩量回调可视为正常波动。</w:t>
      </w:r>
      <w:bookmarkEnd w:id="1018"/>
    </w:p>
    <w:p>
      <w:pPr>
        <w:pageBreakBefore w:val="off"/>
        <w:numPr>
          <w:ilvl w:val="1"/>
          <w:numId w:val="1"/>
        </w:numPr>
        <w:tabs/>
        <w:wordWrap w:val="on"/>
        <w:spacing w:before="160" w:after="0"/>
        <w:ind w:left="880" w:right="0" w:hanging="440"/>
        <w:jc w:val="left"/>
        <w:textAlignment w:val="auto"/>
        <w:rPr>
          <w:sz w:val="32"/>
        </w:rPr>
      </w:pPr>
      <w:bookmarkStart w:name="" w:id="1019"/>
      <w:r>
        <w:rPr>
          <w:rFonts w:ascii="宋体" w:hAnsi="宋体" w:cs="宋体" w:eastAsia="宋体"/>
          <w:sz w:val="32"/>
          <w:spacing w:val="0"/>
          <w:b w:val="on"/>
          <w:i w:val="off"/>
        </w:rPr>
        <w:t xml:space="preserve">第二种走势：先跌再涨再回撤再涨 </w:t>
      </w:r>
      <w:bookmarkEnd w:id="1019"/>
    </w:p>
    <w:p>
      <w:pPr>
        <w:pageBreakBefore w:val="off"/>
        <w:numPr>
          <w:ilvl w:val="2"/>
          <w:numId w:val="1"/>
        </w:numPr>
        <w:tabs/>
        <w:wordWrap w:val="on"/>
        <w:spacing w:before="160" w:after="0"/>
        <w:ind w:left="1320" w:right="0" w:hanging="440"/>
        <w:jc w:val="left"/>
        <w:textAlignment w:val="auto"/>
        <w:rPr>
          <w:sz w:val="32"/>
        </w:rPr>
      </w:pPr>
      <w:bookmarkStart w:name="" w:id="1020"/>
      <w:r>
        <w:rPr>
          <w:rFonts w:ascii="宋体" w:hAnsi="宋体" w:cs="宋体" w:eastAsia="宋体"/>
          <w:sz w:val="32"/>
          <w:spacing w:val="0"/>
          <w:b w:val="off"/>
          <w:i w:val="off"/>
        </w:rPr>
        <w:t>买入即被套，但处于大级别上升趋势中，后续有望反转。</w:t>
      </w:r>
      <w:bookmarkEnd w:id="1020"/>
    </w:p>
    <w:p>
      <w:pPr>
        <w:pageBreakBefore w:val="off"/>
        <w:numPr>
          <w:ilvl w:val="2"/>
          <w:numId w:val="1"/>
        </w:numPr>
        <w:tabs/>
        <w:wordWrap w:val="on"/>
        <w:spacing w:before="160" w:after="0"/>
        <w:ind w:left="1320" w:right="0" w:hanging="440"/>
        <w:jc w:val="left"/>
        <w:textAlignment w:val="auto"/>
        <w:rPr>
          <w:sz w:val="32"/>
        </w:rPr>
      </w:pPr>
      <w:bookmarkStart w:name="" w:id="1021"/>
      <w:r>
        <w:rPr>
          <w:rFonts w:ascii="宋体" w:hAnsi="宋体" w:cs="宋体" w:eastAsia="宋体"/>
          <w:sz w:val="32"/>
          <w:spacing w:val="0"/>
          <w:b w:val="off"/>
          <w:i w:val="off"/>
        </w:rPr>
        <w:t>此类节奏常见于板块轮动，易造成持仓者心态崩溃。</w:t>
      </w:r>
      <w:bookmarkEnd w:id="1021"/>
    </w:p>
    <w:p>
      <w:pPr>
        <w:pageBreakBefore w:val="off"/>
        <w:numPr>
          <w:ilvl w:val="1"/>
          <w:numId w:val="1"/>
        </w:numPr>
        <w:tabs/>
        <w:wordWrap w:val="on"/>
        <w:spacing w:before="160" w:after="0"/>
        <w:ind w:left="880" w:right="0" w:hanging="440"/>
        <w:jc w:val="left"/>
        <w:textAlignment w:val="auto"/>
        <w:rPr>
          <w:sz w:val="32"/>
        </w:rPr>
      </w:pPr>
      <w:bookmarkStart w:name="" w:id="1022"/>
      <w:r>
        <w:rPr>
          <w:rFonts w:ascii="宋体" w:hAnsi="宋体" w:cs="宋体" w:eastAsia="宋体"/>
          <w:sz w:val="32"/>
          <w:spacing w:val="0"/>
          <w:b w:val="on"/>
          <w:i w:val="off"/>
        </w:rPr>
        <w:t xml:space="preserve">第三种走势：窄幅震荡无方向 </w:t>
      </w:r>
      <w:bookmarkEnd w:id="1022"/>
    </w:p>
    <w:p>
      <w:pPr>
        <w:pageBreakBefore w:val="off"/>
        <w:numPr>
          <w:ilvl w:val="2"/>
          <w:numId w:val="1"/>
        </w:numPr>
        <w:tabs/>
        <w:wordWrap w:val="on"/>
        <w:spacing w:before="160" w:after="0"/>
        <w:ind w:left="1320" w:right="0" w:hanging="440"/>
        <w:jc w:val="left"/>
        <w:textAlignment w:val="auto"/>
        <w:rPr>
          <w:sz w:val="32"/>
        </w:rPr>
      </w:pPr>
      <w:bookmarkStart w:name="" w:id="1023"/>
      <w:r>
        <w:rPr>
          <w:rFonts w:ascii="宋体" w:hAnsi="宋体" w:cs="宋体" w:eastAsia="宋体"/>
          <w:sz w:val="32"/>
          <w:spacing w:val="0"/>
          <w:b w:val="off"/>
          <w:i w:val="off"/>
        </w:rPr>
        <w:t>成本线附近长期横盘，波动极小，浮盈/浮亏均有限。</w:t>
      </w:r>
      <w:bookmarkEnd w:id="1023"/>
    </w:p>
    <w:p>
      <w:pPr>
        <w:pageBreakBefore w:val="off"/>
        <w:numPr>
          <w:ilvl w:val="2"/>
          <w:numId w:val="1"/>
        </w:numPr>
        <w:tabs/>
        <w:wordWrap w:val="on"/>
        <w:spacing w:before="160" w:after="0"/>
        <w:ind w:left="1320" w:right="0" w:hanging="440"/>
        <w:jc w:val="left"/>
        <w:textAlignment w:val="auto"/>
        <w:rPr>
          <w:sz w:val="32"/>
        </w:rPr>
      </w:pPr>
      <w:bookmarkStart w:name="" w:id="1024"/>
      <w:r>
        <w:rPr>
          <w:rFonts w:ascii="宋体" w:hAnsi="宋体" w:cs="宋体" w:eastAsia="宋体"/>
          <w:sz w:val="32"/>
          <w:spacing w:val="0"/>
          <w:b w:val="off"/>
          <w:i w:val="off"/>
        </w:rPr>
        <w:t>建议避开此类票，因好票无需长时间等待。</w:t>
      </w:r>
      <w:bookmarkEnd w:id="1024"/>
    </w:p>
    <w:p>
      <w:pPr>
        <w:pageBreakBefore w:val="off"/>
        <w:numPr>
          <w:ilvl w:val="0"/>
          <w:numId w:val="1"/>
        </w:numPr>
        <w:tabs/>
        <w:wordWrap w:val="on"/>
        <w:spacing w:before="160" w:after="0"/>
        <w:ind w:left="440" w:right="0" w:hanging="440"/>
        <w:jc w:val="left"/>
        <w:textAlignment w:val="auto"/>
        <w:rPr>
          <w:sz w:val="32"/>
        </w:rPr>
      </w:pPr>
      <w:bookmarkStart w:name="" w:id="1025"/>
      <w:r>
        <w:rPr>
          <w:rFonts w:ascii="宋体" w:hAnsi="宋体" w:cs="宋体" w:eastAsia="宋体"/>
          <w:sz w:val="32"/>
          <w:spacing w:val="0"/>
          <w:b w:val="on"/>
          <w:i w:val="off"/>
        </w:rPr>
        <w:t xml:space="preserve">持股心理建设与止损策略 </w:t>
      </w:r>
      <w:bookmarkEnd w:id="1025"/>
    </w:p>
    <w:p>
      <w:pPr>
        <w:pageBreakBefore w:val="off"/>
        <w:numPr>
          <w:ilvl w:val="1"/>
          <w:numId w:val="1"/>
        </w:numPr>
        <w:tabs/>
        <w:wordWrap w:val="on"/>
        <w:spacing w:before="160" w:after="0"/>
        <w:ind w:left="880" w:right="0" w:hanging="440"/>
        <w:jc w:val="left"/>
        <w:textAlignment w:val="auto"/>
        <w:rPr>
          <w:sz w:val="32"/>
        </w:rPr>
      </w:pPr>
      <w:bookmarkStart w:name="" w:id="1026"/>
      <w:r>
        <w:rPr>
          <w:rFonts w:ascii="宋体" w:hAnsi="宋体" w:cs="宋体" w:eastAsia="宋体"/>
          <w:sz w:val="32"/>
          <w:spacing w:val="0"/>
          <w:b w:val="off"/>
          <w:i w:val="off"/>
        </w:rPr>
        <w:t>回调阶段不可轻易卖出，尤其在未破关键支撑位时。</w:t>
      </w:r>
      <w:bookmarkEnd w:id="1026"/>
    </w:p>
    <w:p>
      <w:pPr>
        <w:pageBreakBefore w:val="off"/>
        <w:numPr>
          <w:ilvl w:val="1"/>
          <w:numId w:val="1"/>
        </w:numPr>
        <w:tabs/>
        <w:wordWrap w:val="on"/>
        <w:spacing w:before="160" w:after="0"/>
        <w:ind w:left="880" w:right="0" w:hanging="440"/>
        <w:jc w:val="left"/>
        <w:textAlignment w:val="auto"/>
        <w:rPr>
          <w:sz w:val="32"/>
        </w:rPr>
      </w:pPr>
      <w:bookmarkStart w:name="" w:id="1027"/>
      <w:r>
        <w:rPr>
          <w:rFonts w:ascii="宋体" w:hAnsi="宋体" w:cs="宋体" w:eastAsia="宋体"/>
          <w:sz w:val="32"/>
          <w:spacing w:val="0"/>
          <w:b w:val="off"/>
          <w:i w:val="off"/>
        </w:rPr>
        <w:t>安全垫概念：即使浮盈从20%降至5%，仍属正常回撤，非格局问题。</w:t>
      </w:r>
      <w:bookmarkEnd w:id="1027"/>
    </w:p>
    <w:p>
      <w:pPr>
        <w:pageBreakBefore w:val="off"/>
        <w:numPr>
          <w:ilvl w:val="1"/>
          <w:numId w:val="1"/>
        </w:numPr>
        <w:tabs/>
        <w:wordWrap w:val="on"/>
        <w:spacing w:before="160" w:after="0"/>
        <w:ind w:left="880" w:right="0" w:hanging="440"/>
        <w:jc w:val="left"/>
        <w:textAlignment w:val="auto"/>
        <w:rPr>
          <w:sz w:val="32"/>
        </w:rPr>
      </w:pPr>
      <w:bookmarkStart w:name="" w:id="1028"/>
      <w:r>
        <w:rPr>
          <w:rFonts w:ascii="宋体" w:hAnsi="宋体" w:cs="宋体" w:eastAsia="宋体"/>
          <w:sz w:val="32"/>
          <w:spacing w:val="0"/>
          <w:b w:val="off"/>
          <w:i w:val="off"/>
        </w:rPr>
        <w:t>止损应设在合理区域，如B1下方或关键K线低点，而非情绪化割肉。</w:t>
      </w:r>
      <w:bookmarkEnd w:id="1028"/>
    </w:p>
    <w:p>
      <w:pPr>
        <w:pageBreakBefore w:val="off"/>
        <w:numPr>
          <w:ilvl w:val="0"/>
          <w:numId w:val="1"/>
        </w:numPr>
        <w:tabs/>
        <w:wordWrap w:val="on"/>
        <w:spacing w:before="160" w:after="0"/>
        <w:ind w:left="440" w:right="0" w:hanging="440"/>
        <w:jc w:val="left"/>
        <w:textAlignment w:val="auto"/>
        <w:rPr>
          <w:sz w:val="32"/>
        </w:rPr>
      </w:pPr>
      <w:bookmarkStart w:name="" w:id="1029"/>
      <w:r>
        <w:rPr>
          <w:rFonts w:ascii="宋体" w:hAnsi="宋体" w:cs="宋体" w:eastAsia="宋体"/>
          <w:sz w:val="32"/>
          <w:spacing w:val="0"/>
          <w:b w:val="on"/>
          <w:i w:val="off"/>
        </w:rPr>
        <w:t xml:space="preserve">案例分析：泰利与华兰的走势解读 </w:t>
      </w:r>
      <w:bookmarkEnd w:id="1029"/>
    </w:p>
    <w:p>
      <w:pPr>
        <w:pageBreakBefore w:val="off"/>
        <w:numPr>
          <w:ilvl w:val="1"/>
          <w:numId w:val="1"/>
        </w:numPr>
        <w:tabs/>
        <w:wordWrap w:val="on"/>
        <w:spacing w:before="160" w:after="0"/>
        <w:ind w:left="880" w:right="0" w:hanging="440"/>
        <w:jc w:val="left"/>
        <w:textAlignment w:val="auto"/>
        <w:rPr>
          <w:sz w:val="32"/>
        </w:rPr>
      </w:pPr>
      <w:bookmarkStart w:name="" w:id="1030"/>
      <w:r>
        <w:rPr>
          <w:rFonts w:ascii="宋体" w:hAnsi="宋体" w:cs="宋体" w:eastAsia="宋体"/>
          <w:sz w:val="32"/>
          <w:spacing w:val="0"/>
          <w:b w:val="on"/>
          <w:i w:val="off"/>
        </w:rPr>
        <w:t xml:space="preserve">泰利案例 </w:t>
      </w:r>
      <w:bookmarkEnd w:id="1030"/>
    </w:p>
    <w:p>
      <w:pPr>
        <w:pageBreakBefore w:val="off"/>
        <w:numPr>
          <w:ilvl w:val="2"/>
          <w:numId w:val="1"/>
        </w:numPr>
        <w:tabs/>
        <w:wordWrap w:val="on"/>
        <w:spacing w:before="160" w:after="0"/>
        <w:ind w:left="1320" w:right="0" w:hanging="440"/>
        <w:jc w:val="left"/>
        <w:textAlignment w:val="auto"/>
        <w:rPr>
          <w:sz w:val="32"/>
        </w:rPr>
      </w:pPr>
      <w:bookmarkStart w:name="" w:id="1031"/>
      <w:r>
        <w:rPr>
          <w:rFonts w:ascii="宋体" w:hAnsi="宋体" w:cs="宋体" w:eastAsia="宋体"/>
          <w:sz w:val="32"/>
          <w:spacing w:val="0"/>
          <w:b w:val="off"/>
          <w:i w:val="off"/>
        </w:rPr>
        <w:t>B2买入后次日微跌1.96%，但未破前期关键K低点，属于健康回撤。</w:t>
      </w:r>
      <w:bookmarkEnd w:id="1031"/>
    </w:p>
    <w:p>
      <w:pPr>
        <w:pageBreakBefore w:val="off"/>
        <w:numPr>
          <w:ilvl w:val="2"/>
          <w:numId w:val="1"/>
        </w:numPr>
        <w:tabs/>
        <w:wordWrap w:val="on"/>
        <w:spacing w:before="160" w:after="0"/>
        <w:ind w:left="1320" w:right="0" w:hanging="440"/>
        <w:jc w:val="left"/>
        <w:textAlignment w:val="auto"/>
        <w:rPr>
          <w:sz w:val="32"/>
        </w:rPr>
      </w:pPr>
      <w:bookmarkStart w:name="" w:id="1032"/>
      <w:r>
        <w:rPr>
          <w:rFonts w:ascii="宋体" w:hAnsi="宋体" w:cs="宋体" w:eastAsia="宋体"/>
          <w:sz w:val="32"/>
          <w:spacing w:val="0"/>
          <w:b w:val="off"/>
          <w:i w:val="off"/>
        </w:rPr>
        <w:t>后续收复失地并连续大涨，验证“先跌再涨”模式的有效性。</w:t>
      </w:r>
      <w:bookmarkEnd w:id="1032"/>
    </w:p>
    <w:p>
      <w:pPr>
        <w:pageBreakBefore w:val="off"/>
        <w:numPr>
          <w:ilvl w:val="1"/>
          <w:numId w:val="1"/>
        </w:numPr>
        <w:tabs/>
        <w:wordWrap w:val="on"/>
        <w:spacing w:before="160" w:after="0"/>
        <w:ind w:left="880" w:right="0" w:hanging="440"/>
        <w:jc w:val="left"/>
        <w:textAlignment w:val="auto"/>
        <w:rPr>
          <w:sz w:val="32"/>
        </w:rPr>
      </w:pPr>
      <w:bookmarkStart w:name="" w:id="1033"/>
      <w:r>
        <w:rPr>
          <w:rFonts w:ascii="宋体" w:hAnsi="宋体" w:cs="宋体" w:eastAsia="宋体"/>
          <w:sz w:val="32"/>
          <w:spacing w:val="0"/>
          <w:b w:val="on"/>
          <w:i w:val="off"/>
        </w:rPr>
        <w:t xml:space="preserve">华兰B2案例 </w:t>
      </w:r>
      <w:bookmarkEnd w:id="1033"/>
    </w:p>
    <w:p>
      <w:pPr>
        <w:pageBreakBefore w:val="off"/>
        <w:numPr>
          <w:ilvl w:val="2"/>
          <w:numId w:val="1"/>
        </w:numPr>
        <w:tabs/>
        <w:wordWrap w:val="on"/>
        <w:spacing w:before="160" w:after="0"/>
        <w:ind w:left="1320" w:right="0" w:hanging="440"/>
        <w:jc w:val="left"/>
        <w:textAlignment w:val="auto"/>
        <w:rPr>
          <w:sz w:val="32"/>
        </w:rPr>
      </w:pPr>
      <w:bookmarkStart w:name="" w:id="1034"/>
      <w:r>
        <w:rPr>
          <w:rFonts w:ascii="宋体" w:hAnsi="宋体" w:cs="宋体" w:eastAsia="宋体"/>
          <w:sz w:val="32"/>
          <w:spacing w:val="0"/>
          <w:b w:val="off"/>
          <w:i w:val="off"/>
        </w:rPr>
        <w:t>买入后出现7.61%回调，浮盈回吐一半，但量价配合良好。</w:t>
      </w:r>
      <w:bookmarkEnd w:id="1034"/>
    </w:p>
    <w:p>
      <w:pPr>
        <w:pageBreakBefore w:val="off"/>
        <w:numPr>
          <w:ilvl w:val="2"/>
          <w:numId w:val="1"/>
        </w:numPr>
        <w:tabs/>
        <w:wordWrap w:val="on"/>
        <w:spacing w:before="160" w:after="0"/>
        <w:ind w:left="1320" w:right="0" w:hanging="440"/>
        <w:jc w:val="left"/>
        <w:textAlignment w:val="auto"/>
        <w:rPr>
          <w:sz w:val="32"/>
        </w:rPr>
      </w:pPr>
      <w:bookmarkStart w:name="" w:id="1035"/>
      <w:r>
        <w:rPr>
          <w:rFonts w:ascii="宋体" w:hAnsi="宋体" w:cs="宋体" w:eastAsia="宋体"/>
          <w:sz w:val="32"/>
          <w:spacing w:val="0"/>
          <w:b w:val="off"/>
          <w:i w:val="off"/>
        </w:rPr>
        <w:t>缩量回调且未破白线支撑，应继续持有，等待新高突破。</w:t>
      </w:r>
      <w:bookmarkEnd w:id="1035"/>
    </w:p>
    <w:p>
      <w:pPr>
        <w:pageBreakBefore w:val="off"/>
        <w:numPr>
          <w:ilvl w:val="0"/>
          <w:numId w:val="1"/>
        </w:numPr>
        <w:tabs/>
        <w:wordWrap w:val="on"/>
        <w:spacing w:before="160" w:after="0"/>
        <w:ind w:left="440" w:right="0" w:hanging="440"/>
        <w:jc w:val="left"/>
        <w:textAlignment w:val="auto"/>
        <w:rPr>
          <w:sz w:val="32"/>
        </w:rPr>
      </w:pPr>
      <w:bookmarkStart w:name="" w:id="1036"/>
      <w:r>
        <w:rPr>
          <w:rFonts w:ascii="宋体" w:hAnsi="宋体" w:cs="宋体" w:eastAsia="宋体"/>
          <w:sz w:val="32"/>
          <w:spacing w:val="0"/>
          <w:b w:val="on"/>
          <w:i w:val="off"/>
        </w:rPr>
        <w:t xml:space="preserve">白线牵牛绳与锁仓拉升模式 </w:t>
      </w:r>
      <w:bookmarkEnd w:id="1036"/>
    </w:p>
    <w:p>
      <w:pPr>
        <w:pageBreakBefore w:val="off"/>
        <w:numPr>
          <w:ilvl w:val="1"/>
          <w:numId w:val="1"/>
        </w:numPr>
        <w:tabs/>
        <w:wordWrap w:val="on"/>
        <w:spacing w:before="160" w:after="0"/>
        <w:ind w:left="880" w:right="0" w:hanging="440"/>
        <w:jc w:val="left"/>
        <w:textAlignment w:val="auto"/>
        <w:rPr>
          <w:sz w:val="32"/>
        </w:rPr>
      </w:pPr>
      <w:bookmarkStart w:name="" w:id="1037"/>
      <w:r>
        <w:rPr>
          <w:rFonts w:ascii="宋体" w:hAnsi="宋体" w:cs="宋体" w:eastAsia="宋体"/>
          <w:sz w:val="32"/>
          <w:spacing w:val="0"/>
          <w:b w:val="off"/>
          <w:i w:val="off"/>
        </w:rPr>
        <w:t>“白线牵牛绳”指股价沿均线稳步上行，主升浪期间不破白线。</w:t>
      </w:r>
      <w:bookmarkEnd w:id="1037"/>
    </w:p>
    <w:p>
      <w:pPr>
        <w:pageBreakBefore w:val="off"/>
        <w:numPr>
          <w:ilvl w:val="1"/>
          <w:numId w:val="1"/>
        </w:numPr>
        <w:tabs/>
        <w:wordWrap w:val="on"/>
        <w:spacing w:before="160" w:after="0"/>
        <w:ind w:left="880" w:right="0" w:hanging="440"/>
        <w:jc w:val="left"/>
        <w:textAlignment w:val="auto"/>
        <w:rPr>
          <w:sz w:val="32"/>
        </w:rPr>
      </w:pPr>
      <w:bookmarkStart w:name="" w:id="1038"/>
      <w:r>
        <w:rPr>
          <w:rFonts w:ascii="宋体" w:hAnsi="宋体" w:cs="宋体" w:eastAsia="宋体"/>
          <w:sz w:val="32"/>
          <w:spacing w:val="0"/>
          <w:b w:val="off"/>
          <w:i w:val="off"/>
        </w:rPr>
        <w:t>锁仓拉升表现为庄股特征：建仓→拉升→洗盘→加速冲刺。</w:t>
      </w:r>
      <w:bookmarkEnd w:id="1038"/>
    </w:p>
    <w:p>
      <w:pPr>
        <w:pageBreakBefore w:val="off"/>
        <w:numPr>
          <w:ilvl w:val="1"/>
          <w:numId w:val="1"/>
        </w:numPr>
        <w:tabs/>
        <w:wordWrap w:val="on"/>
        <w:spacing w:before="160" w:after="0"/>
        <w:ind w:left="880" w:right="0" w:hanging="440"/>
        <w:jc w:val="left"/>
        <w:textAlignment w:val="auto"/>
        <w:rPr>
          <w:sz w:val="32"/>
        </w:rPr>
      </w:pPr>
      <w:bookmarkStart w:name="" w:id="1039"/>
      <w:r>
        <w:rPr>
          <w:rFonts w:ascii="宋体" w:hAnsi="宋体" w:cs="宋体" w:eastAsia="宋体"/>
          <w:sz w:val="32"/>
          <w:spacing w:val="0"/>
          <w:b w:val="off"/>
          <w:i w:val="off"/>
        </w:rPr>
        <w:t>加速段常以连续涨停形式出现，短期斜率陡增，带来超额收益。</w:t>
      </w:r>
      <w:bookmarkEnd w:id="1039"/>
    </w:p>
    <w:p>
      <w:pPr>
        <w:pageBreakBefore w:val="off"/>
        <w:numPr>
          <w:ilvl w:val="0"/>
          <w:numId w:val="1"/>
        </w:numPr>
        <w:tabs/>
        <w:wordWrap w:val="on"/>
        <w:spacing w:before="160" w:after="0"/>
        <w:ind w:left="440" w:right="0" w:hanging="440"/>
        <w:jc w:val="left"/>
        <w:textAlignment w:val="auto"/>
        <w:rPr>
          <w:sz w:val="32"/>
        </w:rPr>
      </w:pPr>
      <w:bookmarkStart w:name="" w:id="1040"/>
      <w:r>
        <w:rPr>
          <w:rFonts w:ascii="宋体" w:hAnsi="宋体" w:cs="宋体" w:eastAsia="宋体"/>
          <w:sz w:val="32"/>
          <w:spacing w:val="0"/>
          <w:b w:val="on"/>
          <w:i w:val="off"/>
        </w:rPr>
        <w:t xml:space="preserve">交易认知层级与心理博弈 </w:t>
      </w:r>
      <w:bookmarkEnd w:id="1040"/>
    </w:p>
    <w:p>
      <w:pPr>
        <w:pageBreakBefore w:val="off"/>
        <w:numPr>
          <w:ilvl w:val="1"/>
          <w:numId w:val="1"/>
        </w:numPr>
        <w:tabs/>
        <w:wordWrap w:val="on"/>
        <w:spacing w:before="160" w:after="0"/>
        <w:ind w:left="880" w:right="0" w:hanging="440"/>
        <w:jc w:val="left"/>
        <w:textAlignment w:val="auto"/>
        <w:rPr>
          <w:sz w:val="32"/>
        </w:rPr>
      </w:pPr>
      <w:bookmarkStart w:name="" w:id="1041"/>
      <w:r>
        <w:rPr>
          <w:rFonts w:ascii="宋体" w:hAnsi="宋体" w:cs="宋体" w:eastAsia="宋体"/>
          <w:sz w:val="32"/>
          <w:spacing w:val="0"/>
          <w:b w:val="off"/>
          <w:i w:val="off"/>
        </w:rPr>
        <w:t>初级交易者关注单根K线波动，难以承受小幅回撤。</w:t>
      </w:r>
      <w:bookmarkEnd w:id="1041"/>
    </w:p>
    <w:p>
      <w:pPr>
        <w:pageBreakBefore w:val="off"/>
        <w:numPr>
          <w:ilvl w:val="1"/>
          <w:numId w:val="1"/>
        </w:numPr>
        <w:tabs/>
        <w:wordWrap w:val="on"/>
        <w:spacing w:before="160" w:after="0"/>
        <w:ind w:left="880" w:right="0" w:hanging="440"/>
        <w:jc w:val="left"/>
        <w:textAlignment w:val="auto"/>
        <w:rPr>
          <w:sz w:val="32"/>
        </w:rPr>
      </w:pPr>
      <w:bookmarkStart w:name="" w:id="1042"/>
      <w:r>
        <w:rPr>
          <w:rFonts w:ascii="宋体" w:hAnsi="宋体" w:cs="宋体" w:eastAsia="宋体"/>
          <w:sz w:val="32"/>
          <w:spacing w:val="0"/>
          <w:b w:val="off"/>
          <w:i w:val="off"/>
        </w:rPr>
        <w:t>高阶交易者需建立心理预期：要么不赚，要赚就争取相对大波段。</w:t>
      </w:r>
      <w:bookmarkEnd w:id="1042"/>
    </w:p>
    <w:p>
      <w:pPr>
        <w:pageBreakBefore w:val="off"/>
        <w:numPr>
          <w:ilvl w:val="1"/>
          <w:numId w:val="1"/>
        </w:numPr>
        <w:tabs/>
        <w:wordWrap w:val="on"/>
        <w:spacing w:before="160" w:after="0"/>
        <w:ind w:left="880" w:right="0" w:hanging="440"/>
        <w:jc w:val="left"/>
        <w:textAlignment w:val="auto"/>
        <w:rPr>
          <w:sz w:val="32"/>
        </w:rPr>
      </w:pPr>
      <w:bookmarkStart w:name="" w:id="1043"/>
      <w:r>
        <w:rPr>
          <w:rFonts w:ascii="宋体" w:hAnsi="宋体" w:cs="宋体" w:eastAsia="宋体"/>
          <w:sz w:val="32"/>
          <w:spacing w:val="0"/>
          <w:b w:val="off"/>
          <w:i w:val="off"/>
        </w:rPr>
        <w:t>下一步课程将深入讲解“心理博弈”，对应跨年课第二部分。</w:t>
      </w:r>
      <w:bookmarkEnd w:id="1043"/>
    </w:p>
    <w:p>
      <w:pPr>
        <w:pageBreakBefore w:val="off"/>
        <w:numPr>
          <w:ilvl w:val="0"/>
          <w:numId w:val="1"/>
        </w:numPr>
        <w:tabs/>
        <w:wordWrap w:val="on"/>
        <w:spacing w:before="160" w:after="0"/>
        <w:ind w:left="440" w:right="0" w:hanging="440"/>
        <w:jc w:val="left"/>
        <w:textAlignment w:val="auto"/>
        <w:rPr>
          <w:sz w:val="32"/>
        </w:rPr>
      </w:pPr>
      <w:bookmarkStart w:name="" w:id="1044"/>
      <w:r>
        <w:rPr>
          <w:rFonts w:ascii="宋体" w:hAnsi="宋体" w:cs="宋体" w:eastAsia="宋体"/>
          <w:sz w:val="32"/>
          <w:spacing w:val="0"/>
          <w:b w:val="on"/>
          <w:i w:val="off"/>
        </w:rPr>
        <w:t xml:space="preserve">右侧不止损原则与风险管控 </w:t>
      </w:r>
      <w:bookmarkEnd w:id="1044"/>
    </w:p>
    <w:p>
      <w:pPr>
        <w:pageBreakBefore w:val="off"/>
        <w:numPr>
          <w:ilvl w:val="1"/>
          <w:numId w:val="1"/>
        </w:numPr>
        <w:tabs/>
        <w:wordWrap w:val="on"/>
        <w:spacing w:before="160" w:after="0"/>
        <w:ind w:left="880" w:right="0" w:hanging="440"/>
        <w:jc w:val="left"/>
        <w:textAlignment w:val="auto"/>
        <w:rPr>
          <w:sz w:val="32"/>
        </w:rPr>
      </w:pPr>
      <w:bookmarkStart w:name="" w:id="1045"/>
      <w:r>
        <w:rPr>
          <w:rFonts w:ascii="宋体" w:hAnsi="宋体" w:cs="宋体" w:eastAsia="宋体"/>
          <w:sz w:val="32"/>
          <w:spacing w:val="0"/>
          <w:b w:val="off"/>
          <w:i w:val="off"/>
        </w:rPr>
        <w:t>新手建议设置3-5个价位止损，防止剧烈波动导致失控。</w:t>
      </w:r>
      <w:bookmarkEnd w:id="1045"/>
    </w:p>
    <w:p>
      <w:pPr>
        <w:pageBreakBefore w:val="off"/>
        <w:numPr>
          <w:ilvl w:val="1"/>
          <w:numId w:val="1"/>
        </w:numPr>
        <w:tabs/>
        <w:wordWrap w:val="on"/>
        <w:spacing w:before="160" w:after="0"/>
        <w:ind w:left="880" w:right="0" w:hanging="440"/>
        <w:jc w:val="left"/>
        <w:textAlignment w:val="auto"/>
        <w:rPr>
          <w:sz w:val="32"/>
        </w:rPr>
      </w:pPr>
      <w:bookmarkStart w:name="" w:id="1046"/>
      <w:r>
        <w:rPr>
          <w:rFonts w:ascii="宋体" w:hAnsi="宋体" w:cs="宋体" w:eastAsia="宋体"/>
          <w:sz w:val="32"/>
          <w:spacing w:val="0"/>
          <w:b w:val="off"/>
          <w:i w:val="off"/>
        </w:rPr>
        <w:t>老手可在右侧趋势明确时放大止损空间，甚至不止损，依赖择时指标。</w:t>
      </w:r>
      <w:bookmarkEnd w:id="1046"/>
    </w:p>
    <w:p>
      <w:pPr>
        <w:pageBreakBefore w:val="off"/>
        <w:numPr>
          <w:ilvl w:val="1"/>
          <w:numId w:val="1"/>
        </w:numPr>
        <w:tabs/>
        <w:wordWrap w:val="on"/>
        <w:spacing w:before="160" w:after="0"/>
        <w:ind w:left="880" w:right="0" w:hanging="440"/>
        <w:jc w:val="left"/>
        <w:textAlignment w:val="auto"/>
        <w:rPr>
          <w:sz w:val="32"/>
        </w:rPr>
      </w:pPr>
      <w:bookmarkStart w:name="" w:id="1047"/>
      <w:r>
        <w:rPr>
          <w:rFonts w:ascii="宋体" w:hAnsi="宋体" w:cs="宋体" w:eastAsia="宋体"/>
          <w:sz w:val="32"/>
          <w:spacing w:val="0"/>
          <w:b w:val="off"/>
          <w:i w:val="off"/>
        </w:rPr>
        <w:t>前提是选对B1/B2买点，避免在顶部追高被深套。</w:t>
      </w:r>
      <w:bookmarkEnd w:id="1047"/>
    </w:p>
    <w:p>
      <w:pPr>
        <w:pageBreakBefore w:val="off"/>
        <w:numPr>
          <w:ilvl w:val="0"/>
          <w:numId w:val="1"/>
        </w:numPr>
        <w:tabs/>
        <w:wordWrap w:val="on"/>
        <w:spacing w:before="160" w:after="0"/>
        <w:ind w:left="440" w:right="0" w:hanging="440"/>
        <w:jc w:val="left"/>
        <w:textAlignment w:val="auto"/>
        <w:rPr>
          <w:sz w:val="32"/>
        </w:rPr>
      </w:pPr>
      <w:bookmarkStart w:name="" w:id="1048"/>
      <w:r>
        <w:rPr>
          <w:rFonts w:ascii="宋体" w:hAnsi="宋体" w:cs="宋体" w:eastAsia="宋体"/>
          <w:sz w:val="32"/>
          <w:spacing w:val="0"/>
          <w:b w:val="on"/>
          <w:i w:val="off"/>
        </w:rPr>
        <w:t xml:space="preserve">上涨与下跌趋势的操作区别 </w:t>
      </w:r>
      <w:bookmarkEnd w:id="1048"/>
    </w:p>
    <w:p>
      <w:pPr>
        <w:pageBreakBefore w:val="off"/>
        <w:numPr>
          <w:ilvl w:val="1"/>
          <w:numId w:val="1"/>
        </w:numPr>
        <w:tabs/>
        <w:wordWrap w:val="on"/>
        <w:spacing w:before="160" w:after="0"/>
        <w:ind w:left="880" w:right="0" w:hanging="440"/>
        <w:jc w:val="left"/>
        <w:textAlignment w:val="auto"/>
        <w:rPr>
          <w:sz w:val="32"/>
        </w:rPr>
      </w:pPr>
      <w:bookmarkStart w:name="" w:id="1049"/>
      <w:r>
        <w:rPr>
          <w:rFonts w:ascii="宋体" w:hAnsi="宋体" w:cs="宋体" w:eastAsia="宋体"/>
          <w:sz w:val="32"/>
          <w:spacing w:val="0"/>
          <w:b w:val="off"/>
          <w:i w:val="off"/>
        </w:rPr>
        <w:t>上涨阶段任何回调都是买入机会，下跌阶段任何反弹都是卖出时机。</w:t>
      </w:r>
      <w:bookmarkEnd w:id="1049"/>
    </w:p>
    <w:p>
      <w:pPr>
        <w:pageBreakBefore w:val="off"/>
        <w:numPr>
          <w:ilvl w:val="1"/>
          <w:numId w:val="1"/>
        </w:numPr>
        <w:tabs/>
        <w:wordWrap w:val="on"/>
        <w:spacing w:before="160" w:after="0"/>
        <w:ind w:left="880" w:right="0" w:hanging="440"/>
        <w:jc w:val="left"/>
        <w:textAlignment w:val="auto"/>
        <w:rPr>
          <w:sz w:val="32"/>
        </w:rPr>
      </w:pPr>
      <w:bookmarkStart w:name="" w:id="1050"/>
      <w:r>
        <w:rPr>
          <w:rFonts w:ascii="宋体" w:hAnsi="宋体" w:cs="宋体" w:eastAsia="宋体"/>
          <w:sz w:val="32"/>
          <w:spacing w:val="0"/>
          <w:b w:val="off"/>
          <w:i w:val="off"/>
        </w:rPr>
        <w:t>空头区间内反弹不可扛单，必须严格止损，因趋势已逆转。</w:t>
      </w:r>
      <w:bookmarkEnd w:id="1050"/>
    </w:p>
    <w:p>
      <w:pPr>
        <w:pageBreakBefore w:val="off"/>
        <w:numPr>
          <w:ilvl w:val="1"/>
          <w:numId w:val="1"/>
        </w:numPr>
        <w:tabs/>
        <w:wordWrap w:val="on"/>
        <w:spacing w:before="160" w:after="0"/>
        <w:ind w:left="880" w:right="0" w:hanging="440"/>
        <w:jc w:val="left"/>
        <w:textAlignment w:val="auto"/>
        <w:rPr>
          <w:sz w:val="32"/>
        </w:rPr>
      </w:pPr>
      <w:bookmarkStart w:name="" w:id="1051"/>
      <w:r>
        <w:rPr>
          <w:rFonts w:ascii="宋体" w:hAnsi="宋体" w:cs="宋体" w:eastAsia="宋体"/>
          <w:sz w:val="32"/>
          <w:spacing w:val="0"/>
          <w:b w:val="off"/>
          <w:i w:val="off"/>
        </w:rPr>
        <w:t>N型结构向下时不可强行抄底，需等待重新建仓完成。</w:t>
      </w:r>
      <w:bookmarkEnd w:id="1051"/>
    </w:p>
    <w:p>
      <w:pPr>
        <w:pageBreakBefore w:val="off"/>
        <w:numPr>
          <w:ilvl w:val="0"/>
          <w:numId w:val="1"/>
        </w:numPr>
        <w:tabs/>
        <w:wordWrap w:val="on"/>
        <w:spacing w:before="160" w:after="0"/>
        <w:ind w:left="440" w:right="0" w:hanging="440"/>
        <w:jc w:val="left"/>
        <w:textAlignment w:val="auto"/>
        <w:rPr>
          <w:sz w:val="32"/>
        </w:rPr>
      </w:pPr>
      <w:bookmarkStart w:name="" w:id="1052"/>
      <w:r>
        <w:rPr>
          <w:rFonts w:ascii="宋体" w:hAnsi="宋体" w:cs="宋体" w:eastAsia="宋体"/>
          <w:sz w:val="32"/>
          <w:spacing w:val="0"/>
          <w:b w:val="on"/>
          <w:i w:val="off"/>
        </w:rPr>
        <w:t xml:space="preserve">综合判断与实战应用 </w:t>
      </w:r>
      <w:bookmarkEnd w:id="1052"/>
    </w:p>
    <w:p>
      <w:pPr>
        <w:pageBreakBefore w:val="off"/>
        <w:numPr>
          <w:ilvl w:val="1"/>
          <w:numId w:val="1"/>
        </w:numPr>
        <w:tabs/>
        <w:wordWrap w:val="on"/>
        <w:spacing w:before="160" w:after="0"/>
        <w:ind w:left="880" w:right="0" w:hanging="440"/>
        <w:jc w:val="left"/>
        <w:textAlignment w:val="auto"/>
        <w:rPr>
          <w:sz w:val="32"/>
        </w:rPr>
      </w:pPr>
      <w:bookmarkStart w:name="" w:id="1053"/>
      <w:r>
        <w:rPr>
          <w:rFonts w:ascii="宋体" w:hAnsi="宋体" w:cs="宋体" w:eastAsia="宋体"/>
          <w:sz w:val="32"/>
          <w:spacing w:val="0"/>
          <w:b w:val="off"/>
          <w:i w:val="off"/>
        </w:rPr>
        <w:t>给出示例图提问：B2买入后连续回调是否卖出？</w:t>
      </w:r>
      <w:bookmarkEnd w:id="1053"/>
    </w:p>
    <w:p>
      <w:pPr>
        <w:pageBreakBefore w:val="off"/>
        <w:numPr>
          <w:ilvl w:val="1"/>
          <w:numId w:val="1"/>
        </w:numPr>
        <w:tabs/>
        <w:wordWrap w:val="on"/>
        <w:spacing w:before="160" w:after="0"/>
        <w:ind w:left="880" w:right="0" w:hanging="440"/>
        <w:jc w:val="left"/>
        <w:textAlignment w:val="auto"/>
        <w:rPr>
          <w:sz w:val="32"/>
        </w:rPr>
      </w:pPr>
      <w:bookmarkStart w:name="" w:id="1054"/>
      <w:r>
        <w:rPr>
          <w:rFonts w:ascii="宋体" w:hAnsi="宋体" w:cs="宋体" w:eastAsia="宋体"/>
          <w:sz w:val="32"/>
          <w:spacing w:val="0"/>
          <w:b w:val="off"/>
          <w:i w:val="off"/>
        </w:rPr>
        <w:t>正确答案为不卖，因未破N型低点，且无S1放量跌停信号。</w:t>
      </w:r>
      <w:bookmarkEnd w:id="1054"/>
    </w:p>
    <w:p>
      <w:pPr>
        <w:pageBreakBefore w:val="off"/>
        <w:numPr>
          <w:ilvl w:val="1"/>
          <w:numId w:val="1"/>
        </w:numPr>
        <w:tabs/>
        <w:wordWrap w:val="on"/>
        <w:spacing w:before="160" w:after="0"/>
        <w:ind w:left="880" w:right="0" w:hanging="440"/>
        <w:jc w:val="left"/>
        <w:textAlignment w:val="auto"/>
        <w:rPr>
          <w:sz w:val="32"/>
        </w:rPr>
      </w:pPr>
      <w:bookmarkStart w:name="" w:id="1055"/>
      <w:r>
        <w:rPr>
          <w:rFonts w:ascii="宋体" w:hAnsi="宋体" w:cs="宋体" w:eastAsia="宋体"/>
          <w:sz w:val="32"/>
          <w:spacing w:val="0"/>
          <w:b w:val="off"/>
          <w:i w:val="off"/>
        </w:rPr>
        <w:t>横盘多日后突然启动，若此时卖出将错失主升浪。</w:t>
      </w:r>
      <w:bookmarkEnd w:id="1055"/>
    </w:p>
    <w:p>
      <w:pPr>
        <w:pageBreakBefore w:val="off"/>
        <w:numPr>
          <w:ilvl w:val="0"/>
          <w:numId w:val="1"/>
        </w:numPr>
        <w:tabs/>
        <w:wordWrap w:val="on"/>
        <w:spacing w:before="160" w:after="0"/>
        <w:ind w:left="440" w:right="0" w:hanging="440"/>
        <w:jc w:val="left"/>
        <w:textAlignment w:val="auto"/>
        <w:rPr>
          <w:sz w:val="32"/>
        </w:rPr>
      </w:pPr>
      <w:bookmarkStart w:name="" w:id="1056"/>
      <w:r>
        <w:rPr>
          <w:rFonts w:ascii="宋体" w:hAnsi="宋体" w:cs="宋体" w:eastAsia="宋体"/>
          <w:sz w:val="32"/>
          <w:spacing w:val="0"/>
          <w:b w:val="on"/>
          <w:i w:val="off"/>
        </w:rPr>
        <w:t xml:space="preserve">总结与进阶提醒 </w:t>
      </w:r>
      <w:bookmarkEnd w:id="1056"/>
    </w:p>
    <w:p>
      <w:pPr>
        <w:pageBreakBefore w:val="off"/>
        <w:numPr>
          <w:ilvl w:val="1"/>
          <w:numId w:val="1"/>
        </w:numPr>
        <w:tabs/>
        <w:wordWrap w:val="on"/>
        <w:spacing w:before="160" w:after="0"/>
        <w:ind w:left="880" w:right="0" w:hanging="440"/>
        <w:jc w:val="left"/>
        <w:textAlignment w:val="auto"/>
        <w:rPr>
          <w:sz w:val="32"/>
        </w:rPr>
      </w:pPr>
      <w:bookmarkStart w:name="" w:id="1057"/>
      <w:r>
        <w:rPr>
          <w:rFonts w:ascii="宋体" w:hAnsi="宋体" w:cs="宋体" w:eastAsia="宋体"/>
          <w:sz w:val="32"/>
          <w:spacing w:val="0"/>
          <w:b w:val="off"/>
          <w:i w:val="off"/>
        </w:rPr>
        <w:t>本场核心在于建立买入后的心理预期，避免被节奏洗出。</w:t>
      </w:r>
      <w:bookmarkEnd w:id="1057"/>
    </w:p>
    <w:p>
      <w:pPr>
        <w:pageBreakBefore w:val="off"/>
        <w:numPr>
          <w:ilvl w:val="1"/>
          <w:numId w:val="1"/>
        </w:numPr>
        <w:tabs/>
        <w:wordWrap w:val="on"/>
        <w:spacing w:before="160" w:after="0"/>
        <w:ind w:left="880" w:right="0" w:hanging="440"/>
        <w:jc w:val="left"/>
        <w:textAlignment w:val="auto"/>
        <w:rPr>
          <w:sz w:val="32"/>
        </w:rPr>
      </w:pPr>
      <w:bookmarkStart w:name="" w:id="1058"/>
      <w:r>
        <w:rPr>
          <w:rFonts w:ascii="宋体" w:hAnsi="宋体" w:cs="宋体" w:eastAsia="宋体"/>
          <w:sz w:val="32"/>
          <w:spacing w:val="0"/>
          <w:b w:val="off"/>
          <w:i w:val="off"/>
        </w:rPr>
        <w:t>强调散户普遍存在的“赚小钱亏大钱”心理，需通过训练升级认知。</w:t>
      </w:r>
      <w:bookmarkEnd w:id="1058"/>
    </w:p>
    <w:p>
      <w:pPr>
        <w:pageBreakBefore w:val="off"/>
        <w:numPr>
          <w:ilvl w:val="1"/>
          <w:numId w:val="1"/>
        </w:numPr>
        <w:tabs/>
        <w:wordWrap w:val="on"/>
        <w:spacing w:before="160" w:after="0"/>
        <w:ind w:left="880" w:right="0" w:hanging="440"/>
        <w:jc w:val="left"/>
        <w:textAlignment w:val="auto"/>
        <w:rPr>
          <w:sz w:val="32"/>
        </w:rPr>
      </w:pPr>
      <w:bookmarkStart w:name="" w:id="1059"/>
      <w:r>
        <w:rPr>
          <w:rFonts w:ascii="宋体" w:hAnsi="宋体" w:cs="宋体" w:eastAsia="宋体"/>
          <w:sz w:val="32"/>
          <w:spacing w:val="0"/>
          <w:b w:val="off"/>
          <w:i w:val="off"/>
        </w:rPr>
        <w:t>进阶课程将围绕“心理战”展开，提升交易稳定性与盈利能力。</w:t>
      </w:r>
      <w:bookmarkEnd w:id="1059"/>
    </w:p>
    <w:sectPr>
      <w:footerReference r:id="rId5"/>
      <w:headerReference r:id="rId6" w:type="default"/>
      <w:pgSz w:w="15500" w:h="1972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media/image1.jpeg" Type="http://schemas.openxmlformats.org/officeDocument/2006/relationships/image"/><Relationship Id="rId5" Target="footer1.xml" Type="http://schemas.openxmlformats.org/officeDocument/2006/relationships/footer"/><Relationship Id="rId6"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2026-01-21T23:00:58Z</dcterms:created>
  <dc:creator>Apache POI</dc:creator>
</cp:coreProperties>
</file>