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本视频讲述了股市主力操盘逻辑与市场节奏分析，包括龙队如何通过控制大盘点位、利用散户情绪和活跃市值变化来实现控盘，并对春节前市场走势、个股选择策略及风险防范进行了详细解读。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7556500" cy="79502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95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03"/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4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龙队控盘与市场博弈 </w:t>
      </w:r>
      <w:bookmarkEnd w:id="1004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>主力（“龙队”）在市场关键位置（如4200点）设限，防止指数过快上涨引发监管或破坏节奏。</w:t>
      </w:r>
      <w:bookmarkEnd w:id="1005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>通过提前打压潜在强势板块（如麒麟会），将其他机构套牢，从而掌握主动权。</w:t>
      </w:r>
      <w:bookmarkEnd w:id="1006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利用散户情绪和外盘联动效应，引导群众跟随卖出，形成“杠杆反制”。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8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大盘节奏与时间节点分析 </w:t>
      </w:r>
      <w:bookmarkEnd w:id="1008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当前日期为1月22日（周四），春节为2月15日，中间约三个完整交易周。</w:t>
      </w:r>
      <w:bookmarkEnd w:id="1009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0"/>
      <w:r>
        <w:rPr>
          <w:rFonts w:ascii="宋体" w:hAnsi="宋体" w:cs="宋体" w:eastAsia="宋体"/>
          <w:sz w:val="32"/>
          <w:spacing w:val="0"/>
          <w:b w:val="off"/>
          <w:i w:val="off"/>
        </w:rPr>
        <w:t>预计年前不会出现大幅波动（“不整幺蛾子”），最多日内击穿关键点位后收回。</w:t>
      </w:r>
      <w:bookmarkEnd w:id="1010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>强调“慢牛”节奏，避免快速拉升至4600甚至5000点以上导致不可控局面。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2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历史参照与心理预期管理 </w:t>
      </w:r>
      <w:bookmarkEnd w:id="1012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回顾此前“百岁山”行情的失败案例：因未按指令行动导致后续难以收场。</w:t>
      </w:r>
      <w:bookmarkEnd w:id="1013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4"/>
      <w:r>
        <w:rPr>
          <w:rFonts w:ascii="宋体" w:hAnsi="宋体" w:cs="宋体" w:eastAsia="宋体"/>
          <w:sz w:val="32"/>
          <w:spacing w:val="0"/>
          <w:b w:val="off"/>
          <w:i w:val="off"/>
        </w:rPr>
        <w:t>若本轮再次失控，节前被对手盘偷袭成功，则龙队无法向上级交代。</w:t>
      </w:r>
      <w:bookmarkEnd w:id="1014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>当前一切尽在掌控，市场呈现“此起彼伏”的活跃状态，既维持赚钱效应，又防止单边暴涨。</w:t>
      </w:r>
      <w:bookmarkEnd w:id="101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6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动态仓位与主力操作模式 </w:t>
      </w:r>
      <w:bookmarkEnd w:id="1016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>主力采用“底仓+动态仓”模式，高位卖出后低位逐步接回。</w:t>
      </w:r>
      <w:bookmarkEnd w:id="1017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>散户若追高，会被动承受动态仓的反向打压。</w:t>
      </w:r>
      <w:bookmarkEnd w:id="1018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>明确市场目标为“一个月涨100点”，从4000点起步，年底目标原定5200，后调整为4800。</w:t>
      </w:r>
      <w:bookmarkEnd w:id="101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0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外部刺激与承接力度观察 </w:t>
      </w:r>
      <w:bookmarkEnd w:id="1020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ff"/>
          <w:i w:val="off"/>
        </w:rPr>
        <w:t>市场突然涌入“4万亿”资金预期，但主力担忧推高后散户仍难盈利。</w:t>
      </w:r>
      <w:bookmarkEnd w:id="1021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>即便放量上涨，也可能出现“一根S1带走90%散户”的极端情况。</w:t>
      </w:r>
      <w:bookmarkEnd w:id="1022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关键在于是否有承接：若下跌时有买盘支撑，则为主力可控范围内的洗盘。</w:t>
      </w:r>
      <w:bookmarkEnd w:id="102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4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市场信号与纪律要求 </w:t>
      </w:r>
      <w:bookmarkEnd w:id="1024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5"/>
      <w:r>
        <w:rPr>
          <w:rFonts w:ascii="宋体" w:hAnsi="宋体" w:cs="宋体" w:eastAsia="宋体"/>
          <w:sz w:val="32"/>
          <w:spacing w:val="0"/>
          <w:b w:val="off"/>
          <w:i w:val="off"/>
        </w:rPr>
        <w:t>核心监测指标为“活跃市值”，一旦出现单日-2.3%跌幅，视为主力撤退信号。</w:t>
      </w:r>
      <w:bookmarkEnd w:id="1025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6"/>
      <w:r>
        <w:rPr>
          <w:rFonts w:ascii="宋体" w:hAnsi="宋体" w:cs="宋体" w:eastAsia="宋体"/>
          <w:sz w:val="32"/>
          <w:spacing w:val="0"/>
          <w:b w:val="off"/>
          <w:i w:val="off"/>
        </w:rPr>
        <w:t>此时应立即清仓所有弱势股，不论图形是否完美。</w:t>
      </w:r>
      <w:bookmarkEnd w:id="1026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7"/>
      <w:r>
        <w:rPr>
          <w:rFonts w:ascii="宋体" w:hAnsi="宋体" w:cs="宋体" w:eastAsia="宋体"/>
          <w:sz w:val="32"/>
          <w:spacing w:val="0"/>
          <w:b w:val="off"/>
          <w:i w:val="off"/>
        </w:rPr>
        <w:t>第二日即使反弹，也不保证能顺利离场，需尊重数据而非主观判断。</w:t>
      </w:r>
      <w:bookmarkEnd w:id="102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8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个股淘汰机制与操作纪律 </w:t>
      </w:r>
      <w:bookmarkEnd w:id="1028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>实行“只卖不买”策略，依据技术信号自然淘汰个股。</w:t>
      </w:r>
      <w:bookmarkEnd w:id="1029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0"/>
      <w:r>
        <w:rPr>
          <w:rFonts w:ascii="宋体" w:hAnsi="宋体" w:cs="宋体" w:eastAsia="宋体"/>
          <w:sz w:val="32"/>
          <w:spacing w:val="0"/>
          <w:b w:val="off"/>
          <w:i w:val="off"/>
        </w:rPr>
        <w:t>触发条件包括：</w:t>
      </w:r>
      <w:bookmarkEnd w:id="1030"/>
    </w:p>
    <w:p>
      <w:pPr>
        <w:pageBreakBefore w:val="off"/>
        <w:numPr>
          <w:ilvl w:val="2"/>
          <w:numId w:val="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32"/>
        </w:rPr>
      </w:pPr>
      <w:bookmarkStart w:name="" w:id="1031"/>
      <w:r>
        <w:rPr>
          <w:rFonts w:ascii="宋体" w:hAnsi="宋体" w:cs="宋体" w:eastAsia="宋体"/>
          <w:sz w:val="32"/>
          <w:spacing w:val="0"/>
          <w:b w:val="off"/>
          <w:i w:val="off"/>
        </w:rPr>
        <w:t>出现S1信号；</w:t>
      </w:r>
      <w:bookmarkEnd w:id="1031"/>
    </w:p>
    <w:p>
      <w:pPr>
        <w:pageBreakBefore w:val="off"/>
        <w:numPr>
          <w:ilvl w:val="2"/>
          <w:numId w:val="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32"/>
        </w:rPr>
      </w:pPr>
      <w:bookmarkStart w:name="" w:id="1032"/>
      <w:r>
        <w:rPr>
          <w:rFonts w:ascii="宋体" w:hAnsi="宋体" w:cs="宋体" w:eastAsia="宋体"/>
          <w:sz w:val="32"/>
          <w:spacing w:val="0"/>
          <w:b w:val="off"/>
          <w:i w:val="off"/>
        </w:rPr>
        <w:t>次高点S1；</w:t>
      </w:r>
      <w:bookmarkEnd w:id="1032"/>
    </w:p>
    <w:p>
      <w:pPr>
        <w:pageBreakBefore w:val="off"/>
        <w:numPr>
          <w:ilvl w:val="2"/>
          <w:numId w:val="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32"/>
        </w:rPr>
      </w:pPr>
      <w:bookmarkStart w:name="" w:id="1033"/>
      <w:r>
        <w:rPr>
          <w:rFonts w:ascii="宋体" w:hAnsi="宋体" w:cs="宋体" w:eastAsia="宋体"/>
          <w:sz w:val="32"/>
          <w:spacing w:val="0"/>
          <w:b w:val="off"/>
          <w:i w:val="off"/>
        </w:rPr>
        <w:t>放量破位。</w:t>
      </w:r>
      <w:bookmarkEnd w:id="1033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4"/>
      <w:r>
        <w:rPr>
          <w:rFonts w:ascii="宋体" w:hAnsi="宋体" w:cs="宋体" w:eastAsia="宋体"/>
          <w:sz w:val="32"/>
          <w:spacing w:val="0"/>
          <w:b w:val="off"/>
          <w:i w:val="off"/>
        </w:rPr>
        <w:t>不追求一键清仓，而是按个股节奏逐步退出。</w:t>
      </w:r>
      <w:bookmarkEnd w:id="103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5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主力收益优先原则 </w:t>
      </w:r>
      <w:bookmarkEnd w:id="1035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6"/>
      <w:r>
        <w:rPr>
          <w:rFonts w:ascii="宋体" w:hAnsi="宋体" w:cs="宋体" w:eastAsia="宋体"/>
          <w:sz w:val="32"/>
          <w:spacing w:val="0"/>
          <w:b w:val="off"/>
          <w:i w:val="off"/>
        </w:rPr>
        <w:t>市场是否健康以“大哥（主力）赚没赚钱”为准，而非散户盈亏。</w:t>
      </w:r>
      <w:bookmarkEnd w:id="1036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7"/>
      <w:r>
        <w:rPr>
          <w:rFonts w:ascii="宋体" w:hAnsi="宋体" w:cs="宋体" w:eastAsia="宋体"/>
          <w:sz w:val="32"/>
          <w:spacing w:val="0"/>
          <w:b w:val="off"/>
          <w:i w:val="off"/>
        </w:rPr>
        <w:t>若-2.3信号出现，说明主力已完成阶段性获利，散户应及时跟随。</w:t>
      </w:r>
      <w:bookmarkEnd w:id="103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8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回调阶段选股策略 </w:t>
      </w:r>
      <w:bookmarkEnd w:id="1038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9"/>
      <w:r>
        <w:rPr>
          <w:rFonts w:ascii="宋体" w:hAnsi="宋体" w:cs="宋体" w:eastAsia="宋体"/>
          <w:sz w:val="32"/>
          <w:spacing w:val="0"/>
          <w:b w:val="off"/>
          <w:i w:val="off"/>
        </w:rPr>
        <w:t>在市场转弱后，每日仍可选出部分B1级别机会。</w:t>
      </w:r>
      <w:bookmarkEnd w:id="1039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0"/>
      <w:r>
        <w:rPr>
          <w:rFonts w:ascii="宋体" w:hAnsi="宋体" w:cs="宋体" w:eastAsia="宋体"/>
          <w:sz w:val="32"/>
          <w:spacing w:val="0"/>
          <w:b w:val="off"/>
          <w:i w:val="off"/>
        </w:rPr>
        <w:t>B2及以上不再追高，仅参与确定性高的B1形态。</w:t>
      </w:r>
      <w:bookmarkEnd w:id="1040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1"/>
      <w:r>
        <w:rPr>
          <w:rFonts w:ascii="宋体" w:hAnsi="宋体" w:cs="宋体" w:eastAsia="宋体"/>
          <w:sz w:val="32"/>
          <w:spacing w:val="0"/>
          <w:b w:val="off"/>
          <w:i w:val="off"/>
        </w:rPr>
        <w:t>降低仓位（“降台费”），例如从1600降至400，保持手感即可。</w:t>
      </w:r>
      <w:bookmarkEnd w:id="104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42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买卖策略与风控措施 </w:t>
      </w:r>
      <w:bookmarkEnd w:id="1042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3"/>
      <w:r>
        <w:rPr>
          <w:rFonts w:ascii="宋体" w:hAnsi="宋体" w:cs="宋体" w:eastAsia="宋体"/>
          <w:sz w:val="32"/>
          <w:spacing w:val="0"/>
          <w:b w:val="off"/>
          <w:i w:val="off"/>
        </w:rPr>
        <w:t>买入后若盘中上涨7%-10%，即刻卖出一半锁定利润。</w:t>
      </w:r>
      <w:bookmarkEnd w:id="1043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4"/>
      <w:r>
        <w:rPr>
          <w:rFonts w:ascii="宋体" w:hAnsi="宋体" w:cs="宋体" w:eastAsia="宋体"/>
          <w:sz w:val="32"/>
          <w:spacing w:val="0"/>
          <w:b w:val="off"/>
          <w:i w:val="off"/>
        </w:rPr>
        <w:t>控制风险比追求收益更重要，尤其在非主升浪阶段。</w:t>
      </w:r>
      <w:bookmarkEnd w:id="104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45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未来走势推演与节奏预测 </w:t>
      </w:r>
      <w:bookmarkEnd w:id="1045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6"/>
      <w:r>
        <w:rPr>
          <w:rFonts w:ascii="宋体" w:hAnsi="宋体" w:cs="宋体" w:eastAsia="宋体"/>
          <w:sz w:val="32"/>
          <w:spacing w:val="0"/>
          <w:b w:val="off"/>
          <w:i w:val="off"/>
        </w:rPr>
        <w:t>一月份大概率维持震荡，上限不超过4200点。</w:t>
      </w:r>
      <w:bookmarkEnd w:id="1046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7"/>
      <w:r>
        <w:rPr>
          <w:rFonts w:ascii="宋体" w:hAnsi="宋体" w:cs="宋体" w:eastAsia="宋体"/>
          <w:sz w:val="32"/>
          <w:spacing w:val="0"/>
          <w:b w:val="off"/>
          <w:i w:val="off"/>
        </w:rPr>
        <w:t>二月份开启新KPI周期，可能由券商板块点燃行情。</w:t>
      </w:r>
      <w:bookmarkEnd w:id="1047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8"/>
      <w:r>
        <w:rPr>
          <w:rFonts w:ascii="宋体" w:hAnsi="宋体" w:cs="宋体" w:eastAsia="宋体"/>
          <w:sz w:val="32"/>
          <w:spacing w:val="0"/>
          <w:b w:val="off"/>
          <w:i w:val="off"/>
        </w:rPr>
        <w:t>节前有望以新高迎接“马年”，提振全民信心，刺激消费（如三亚旅游、免税购物等）。</w:t>
      </w:r>
      <w:bookmarkEnd w:id="104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49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主线识别与轮动规律 </w:t>
      </w:r>
      <w:bookmarkEnd w:id="1049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50"/>
      <w:r>
        <w:rPr>
          <w:rFonts w:ascii="宋体" w:hAnsi="宋体" w:cs="宋体" w:eastAsia="宋体"/>
          <w:sz w:val="32"/>
          <w:spacing w:val="0"/>
          <w:b w:val="off"/>
          <w:i w:val="off"/>
        </w:rPr>
        <w:t>每轮行情均有明确主线，当前主线为AI+科技、半导体等。</w:t>
      </w:r>
      <w:bookmarkEnd w:id="1050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51"/>
      <w:r>
        <w:rPr>
          <w:rFonts w:ascii="宋体" w:hAnsi="宋体" w:cs="宋体" w:eastAsia="宋体"/>
          <w:sz w:val="32"/>
          <w:spacing w:val="0"/>
          <w:b w:val="off"/>
          <w:i w:val="off"/>
        </w:rPr>
        <w:t>可参考国家五年规划方向进行布局。</w:t>
      </w:r>
      <w:bookmarkEnd w:id="1051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52"/>
      <w:r>
        <w:rPr>
          <w:rFonts w:ascii="宋体" w:hAnsi="宋体" w:cs="宋体" w:eastAsia="宋体"/>
          <w:sz w:val="32"/>
          <w:spacing w:val="0"/>
          <w:b w:val="off"/>
          <w:i w:val="off"/>
        </w:rPr>
        <w:t>大资金会将主线内标的“吃透”，因此补涨概率高。</w:t>
      </w:r>
      <w:bookmarkEnd w:id="105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5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MACD趋势与刹车逻辑 </w:t>
      </w:r>
      <w:bookmarkEnd w:id="1053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54"/>
      <w:r>
        <w:rPr>
          <w:rFonts w:ascii="宋体" w:hAnsi="宋体" w:cs="宋体" w:eastAsia="宋体"/>
          <w:sz w:val="32"/>
          <w:spacing w:val="0"/>
          <w:b w:val="off"/>
          <w:i w:val="off"/>
        </w:rPr>
        <w:t>MACD进入缩量阶段，表明主力开始“踩刹车”。</w:t>
      </w:r>
      <w:bookmarkEnd w:id="1054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55"/>
      <w:r>
        <w:rPr>
          <w:rFonts w:ascii="宋体" w:hAnsi="宋体" w:cs="宋体" w:eastAsia="宋体"/>
          <w:sz w:val="32"/>
          <w:spacing w:val="0"/>
          <w:b w:val="off"/>
          <w:i w:val="off"/>
        </w:rPr>
        <w:t>速度放缓不影响个股演绎，主线仍在延续。</w:t>
      </w:r>
      <w:bookmarkEnd w:id="105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56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信息甄别与独立判断 </w:t>
      </w:r>
      <w:bookmarkEnd w:id="1056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57"/>
      <w:r>
        <w:rPr>
          <w:rFonts w:ascii="宋体" w:hAnsi="宋体" w:cs="宋体" w:eastAsia="宋体"/>
          <w:sz w:val="32"/>
          <w:spacing w:val="0"/>
          <w:b w:val="off"/>
          <w:i w:val="off"/>
        </w:rPr>
        <w:t>外部新闻多为干扰项，应以“活跃市值”为核心观测指标。</w:t>
      </w:r>
      <w:bookmarkEnd w:id="1057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58"/>
      <w:r>
        <w:rPr>
          <w:rFonts w:ascii="宋体" w:hAnsi="宋体" w:cs="宋体" w:eastAsia="宋体"/>
          <w:sz w:val="32"/>
          <w:spacing w:val="0"/>
          <w:b w:val="off"/>
          <w:i w:val="off"/>
        </w:rPr>
        <w:t>只要未出现-2.3信号，即可继续持有。</w:t>
      </w:r>
      <w:bookmarkEnd w:id="1058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59"/>
      <w:r>
        <w:rPr>
          <w:rFonts w:ascii="宋体" w:hAnsi="宋体" w:cs="宋体" w:eastAsia="宋体"/>
          <w:sz w:val="32"/>
          <w:spacing w:val="0"/>
          <w:b w:val="off"/>
          <w:i w:val="off"/>
        </w:rPr>
        <w:t>承接良好且主线未结束，则无需过度恐慌。</w:t>
      </w:r>
      <w:bookmarkEnd w:id="105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60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春节前风险预警 </w:t>
      </w:r>
      <w:bookmarkEnd w:id="1060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61"/>
      <w:r>
        <w:rPr>
          <w:rFonts w:ascii="宋体" w:hAnsi="宋体" w:cs="宋体" w:eastAsia="宋体"/>
          <w:sz w:val="32"/>
          <w:spacing w:val="0"/>
          <w:b w:val="off"/>
          <w:i w:val="off"/>
        </w:rPr>
        <w:t>最大风险是“穿着”在节前搞事情（疑似指空头突袭）。</w:t>
      </w:r>
      <w:bookmarkEnd w:id="1061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62"/>
      <w:r>
        <w:rPr>
          <w:rFonts w:ascii="宋体" w:hAnsi="宋体" w:cs="宋体" w:eastAsia="宋体"/>
          <w:sz w:val="32"/>
          <w:spacing w:val="0"/>
          <w:b w:val="off"/>
          <w:i w:val="off"/>
        </w:rPr>
        <w:t>应紧盯活跃市值变化：</w:t>
      </w:r>
      <w:bookmarkEnd w:id="1062"/>
    </w:p>
    <w:p>
      <w:pPr>
        <w:pageBreakBefore w:val="off"/>
        <w:numPr>
          <w:ilvl w:val="2"/>
          <w:numId w:val="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32"/>
        </w:rPr>
      </w:pPr>
      <w:bookmarkStart w:name="" w:id="1063"/>
      <w:r>
        <w:rPr>
          <w:rFonts w:ascii="宋体" w:hAnsi="宋体" w:cs="宋体" w:eastAsia="宋体"/>
          <w:sz w:val="32"/>
          <w:spacing w:val="0"/>
          <w:b w:val="off"/>
          <w:i w:val="off"/>
        </w:rPr>
        <w:t>无大问题 → 继续持有；</w:t>
      </w:r>
      <w:bookmarkEnd w:id="1063"/>
    </w:p>
    <w:p>
      <w:pPr>
        <w:pageBreakBefore w:val="off"/>
        <w:numPr>
          <w:ilvl w:val="2"/>
          <w:numId w:val="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32"/>
        </w:rPr>
      </w:pPr>
      <w:bookmarkStart w:name="" w:id="1064"/>
      <w:r>
        <w:rPr>
          <w:rFonts w:ascii="宋体" w:hAnsi="宋体" w:cs="宋体" w:eastAsia="宋体"/>
          <w:sz w:val="32"/>
          <w:spacing w:val="0"/>
          <w:b w:val="off"/>
          <w:i w:val="off"/>
        </w:rPr>
        <w:t>崩塌 → 暂避锋芒，等待下一波。</w:t>
      </w:r>
      <w:bookmarkEnd w:id="106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65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券商板块的战略作用 </w:t>
      </w:r>
      <w:bookmarkEnd w:id="1065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66"/>
      <w:r>
        <w:rPr>
          <w:rFonts w:ascii="宋体" w:hAnsi="宋体" w:cs="宋体" w:eastAsia="宋体"/>
          <w:sz w:val="32"/>
          <w:spacing w:val="0"/>
          <w:b w:val="off"/>
          <w:i w:val="off"/>
        </w:rPr>
        <w:t>券商具备多重功能：</w:t>
      </w:r>
      <w:bookmarkEnd w:id="1066"/>
    </w:p>
    <w:p>
      <w:pPr>
        <w:pageBreakBefore w:val="off"/>
        <w:numPr>
          <w:ilvl w:val="2"/>
          <w:numId w:val="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32"/>
        </w:rPr>
      </w:pPr>
      <w:bookmarkStart w:name="" w:id="1067"/>
      <w:r>
        <w:rPr>
          <w:rFonts w:ascii="宋体" w:hAnsi="宋体" w:cs="宋体" w:eastAsia="宋体"/>
          <w:sz w:val="32"/>
          <w:spacing w:val="0"/>
          <w:b w:val="off"/>
          <w:i w:val="off"/>
        </w:rPr>
        <w:t>关键时刻救市；</w:t>
      </w:r>
      <w:bookmarkEnd w:id="1067"/>
    </w:p>
    <w:p>
      <w:pPr>
        <w:pageBreakBefore w:val="off"/>
        <w:numPr>
          <w:ilvl w:val="2"/>
          <w:numId w:val="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32"/>
        </w:rPr>
      </w:pPr>
      <w:bookmarkStart w:name="" w:id="1068"/>
      <w:r>
        <w:rPr>
          <w:rFonts w:ascii="宋体" w:hAnsi="宋体" w:cs="宋体" w:eastAsia="宋体"/>
          <w:sz w:val="32"/>
          <w:spacing w:val="0"/>
          <w:b w:val="off"/>
          <w:i w:val="off"/>
        </w:rPr>
        <w:t>控制指数涨幅；</w:t>
      </w:r>
      <w:bookmarkEnd w:id="1068"/>
    </w:p>
    <w:p>
      <w:pPr>
        <w:pageBreakBefore w:val="off"/>
        <w:numPr>
          <w:ilvl w:val="2"/>
          <w:numId w:val="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32"/>
        </w:rPr>
      </w:pPr>
      <w:bookmarkStart w:name="" w:id="1069"/>
      <w:r>
        <w:rPr>
          <w:rFonts w:ascii="宋体" w:hAnsi="宋体" w:cs="宋体" w:eastAsia="宋体"/>
          <w:sz w:val="32"/>
          <w:spacing w:val="0"/>
          <w:b w:val="off"/>
          <w:i w:val="off"/>
        </w:rPr>
        <w:t>洗出不坚定散户；</w:t>
      </w:r>
      <w:bookmarkEnd w:id="1069"/>
    </w:p>
    <w:p>
      <w:pPr>
        <w:pageBreakBefore w:val="off"/>
        <w:numPr>
          <w:ilvl w:val="2"/>
          <w:numId w:val="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32"/>
        </w:rPr>
      </w:pPr>
      <w:bookmarkStart w:name="" w:id="1070"/>
      <w:r>
        <w:rPr>
          <w:rFonts w:ascii="宋体" w:hAnsi="宋体" w:cs="宋体" w:eastAsia="宋体"/>
          <w:sz w:val="32"/>
          <w:spacing w:val="0"/>
          <w:b w:val="off"/>
          <w:i w:val="off"/>
        </w:rPr>
        <w:t>为未来补涨积蓄力量。</w:t>
      </w:r>
      <w:bookmarkEnd w:id="1070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71"/>
      <w:r>
        <w:rPr>
          <w:rFonts w:ascii="宋体" w:hAnsi="宋体" w:cs="宋体" w:eastAsia="宋体"/>
          <w:sz w:val="32"/>
          <w:spacing w:val="0"/>
          <w:b w:val="off"/>
          <w:i w:val="off"/>
        </w:rPr>
        <w:t>操作手法可能是阴跌10%-15%后突然拉涨停，实现一举多得。</w:t>
      </w:r>
      <w:bookmarkEnd w:id="107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72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市场信心与社会影响 </w:t>
      </w:r>
      <w:bookmarkEnd w:id="1072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73"/>
      <w:r>
        <w:rPr>
          <w:rFonts w:ascii="宋体" w:hAnsi="宋体" w:cs="宋体" w:eastAsia="宋体"/>
          <w:sz w:val="32"/>
          <w:spacing w:val="0"/>
          <w:b w:val="off"/>
          <w:i w:val="off"/>
        </w:rPr>
        <w:t>A股以新高迎新春，可极大提升民众信心，类比国足U23进亚洲杯决赛的社会热度。</w:t>
      </w:r>
      <w:bookmarkEnd w:id="1073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74"/>
      <w:r>
        <w:rPr>
          <w:rFonts w:ascii="宋体" w:hAnsi="宋体" w:cs="宋体" w:eastAsia="宋体"/>
          <w:sz w:val="32"/>
          <w:spacing w:val="0"/>
          <w:b w:val="off"/>
          <w:i w:val="off"/>
        </w:rPr>
        <w:t>正向情绪有助于拉动内需，促进春节期间消费回暖。</w:t>
      </w:r>
      <w:bookmarkEnd w:id="107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75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消费预期与热点映射 </w:t>
      </w:r>
      <w:bookmarkEnd w:id="1075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76"/>
      <w:r>
        <w:rPr>
          <w:rFonts w:ascii="宋体" w:hAnsi="宋体" w:cs="宋体" w:eastAsia="宋体"/>
          <w:sz w:val="32"/>
          <w:spacing w:val="0"/>
          <w:b w:val="off"/>
          <w:i w:val="off"/>
        </w:rPr>
        <w:t>春节期间三亚免税城可能出现排队限购现象。</w:t>
      </w:r>
      <w:bookmarkEnd w:id="1076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77"/>
      <w:r>
        <w:rPr>
          <w:rFonts w:ascii="宋体" w:hAnsi="宋体" w:cs="宋体" w:eastAsia="宋体"/>
          <w:sz w:val="32"/>
          <w:spacing w:val="0"/>
          <w:b w:val="off"/>
          <w:i w:val="off"/>
        </w:rPr>
        <w:t>景德镇SPA等行业春节不放假，反映服务需求旺盛。</w:t>
      </w:r>
      <w:bookmarkEnd w:id="1077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78"/>
      <w:r>
        <w:rPr>
          <w:rFonts w:ascii="宋体" w:hAnsi="宋体" w:cs="宋体" w:eastAsia="宋体"/>
          <w:sz w:val="32"/>
          <w:spacing w:val="0"/>
          <w:b w:val="off"/>
          <w:i w:val="off"/>
        </w:rPr>
        <w:t>布局方向应围绕“春节消费”展开。</w:t>
      </w:r>
      <w:bookmarkEnd w:id="107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79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三缩策略解析 </w:t>
      </w:r>
      <w:bookmarkEnd w:id="1079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80"/>
      <w:r>
        <w:rPr>
          <w:rFonts w:ascii="宋体" w:hAnsi="宋体" w:cs="宋体" w:eastAsia="宋体"/>
          <w:sz w:val="32"/>
          <w:spacing w:val="0"/>
          <w:b w:val="off"/>
          <w:i w:val="off"/>
        </w:rPr>
        <w:t>“三缩”是一种介于“单针下20”与“B1”之间的调整形态。</w:t>
      </w:r>
      <w:bookmarkEnd w:id="1080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81"/>
      <w:r>
        <w:rPr>
          <w:rFonts w:ascii="宋体" w:hAnsi="宋体" w:cs="宋体" w:eastAsia="宋体"/>
          <w:sz w:val="32"/>
          <w:spacing w:val="0"/>
          <w:b w:val="off"/>
          <w:i w:val="off"/>
        </w:rPr>
        <w:t>适用于连续上涨趋势中的快速洗盘。</w:t>
      </w:r>
      <w:bookmarkEnd w:id="1081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82"/>
      <w:r>
        <w:rPr>
          <w:rFonts w:ascii="宋体" w:hAnsi="宋体" w:cs="宋体" w:eastAsia="宋体"/>
          <w:sz w:val="32"/>
          <w:spacing w:val="0"/>
          <w:b w:val="off"/>
          <w:i w:val="off"/>
        </w:rPr>
        <w:t>成功率较高的形态特征：</w:t>
      </w:r>
      <w:bookmarkEnd w:id="1082"/>
    </w:p>
    <w:p>
      <w:pPr>
        <w:pageBreakBefore w:val="off"/>
        <w:numPr>
          <w:ilvl w:val="2"/>
          <w:numId w:val="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32"/>
        </w:rPr>
      </w:pPr>
      <w:bookmarkStart w:name="" w:id="1083"/>
      <w:r>
        <w:rPr>
          <w:rFonts w:ascii="宋体" w:hAnsi="宋体" w:cs="宋体" w:eastAsia="宋体"/>
          <w:sz w:val="32"/>
          <w:spacing w:val="0"/>
          <w:b w:val="off"/>
          <w:i w:val="off"/>
        </w:rPr>
        <w:t>明显缩量；</w:t>
      </w:r>
      <w:bookmarkEnd w:id="1083"/>
    </w:p>
    <w:p>
      <w:pPr>
        <w:pageBreakBefore w:val="off"/>
        <w:numPr>
          <w:ilvl w:val="2"/>
          <w:numId w:val="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32"/>
        </w:rPr>
      </w:pPr>
      <w:bookmarkStart w:name="" w:id="1084"/>
      <w:r>
        <w:rPr>
          <w:rFonts w:ascii="宋体" w:hAnsi="宋体" w:cs="宋体" w:eastAsia="宋体"/>
          <w:sz w:val="32"/>
          <w:spacing w:val="0"/>
          <w:b w:val="off"/>
          <w:i w:val="off"/>
        </w:rPr>
        <w:t>放量后迅速收敛；</w:t>
      </w:r>
      <w:bookmarkEnd w:id="1084"/>
    </w:p>
    <w:p>
      <w:pPr>
        <w:pageBreakBefore w:val="off"/>
        <w:numPr>
          <w:ilvl w:val="2"/>
          <w:numId w:val="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32"/>
        </w:rPr>
      </w:pPr>
      <w:bookmarkStart w:name="" w:id="1085"/>
      <w:r>
        <w:rPr>
          <w:rFonts w:ascii="宋体" w:hAnsi="宋体" w:cs="宋体" w:eastAsia="宋体"/>
          <w:sz w:val="32"/>
          <w:spacing w:val="0"/>
          <w:b w:val="off"/>
          <w:i w:val="off"/>
        </w:rPr>
        <w:t>图形简洁不纠结。</w:t>
      </w:r>
      <w:bookmarkEnd w:id="108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86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选股标准与图形偏好 </w:t>
      </w:r>
      <w:bookmarkEnd w:id="1086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87"/>
      <w:r>
        <w:rPr>
          <w:rFonts w:ascii="宋体" w:hAnsi="宋体" w:cs="宋体" w:eastAsia="宋体"/>
          <w:sz w:val="32"/>
          <w:spacing w:val="0"/>
          <w:b w:val="off"/>
          <w:i w:val="off"/>
        </w:rPr>
        <w:t>最佳洗盘形态：放量后突然缩量，体现主力锁仓。</w:t>
      </w:r>
      <w:bookmarkEnd w:id="1087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88"/>
      <w:r>
        <w:rPr>
          <w:rFonts w:ascii="宋体" w:hAnsi="宋体" w:cs="宋体" w:eastAsia="宋体"/>
          <w:sz w:val="32"/>
          <w:spacing w:val="0"/>
          <w:b w:val="off"/>
          <w:i w:val="off"/>
        </w:rPr>
        <w:t>避免复杂图形，选择“傻瓜式”信号——一看即懂、无需犹豫。</w:t>
      </w:r>
      <w:bookmarkEnd w:id="1088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89"/>
      <w:r>
        <w:rPr>
          <w:rFonts w:ascii="宋体" w:hAnsi="宋体" w:cs="宋体" w:eastAsia="宋体"/>
          <w:sz w:val="32"/>
          <w:spacing w:val="0"/>
          <w:b w:val="off"/>
          <w:i w:val="off"/>
        </w:rPr>
        <w:t>淘汰标准：</w:t>
      </w:r>
      <w:bookmarkEnd w:id="1089"/>
    </w:p>
    <w:p>
      <w:pPr>
        <w:pageBreakBefore w:val="off"/>
        <w:numPr>
          <w:ilvl w:val="2"/>
          <w:numId w:val="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32"/>
        </w:rPr>
      </w:pPr>
      <w:bookmarkStart w:name="" w:id="1090"/>
      <w:r>
        <w:rPr>
          <w:rFonts w:ascii="宋体" w:hAnsi="宋体" w:cs="宋体" w:eastAsia="宋体"/>
          <w:sz w:val="32"/>
          <w:spacing w:val="0"/>
          <w:b w:val="off"/>
          <w:i w:val="off"/>
        </w:rPr>
        <w:t>多次下跌无承接；</w:t>
      </w:r>
      <w:bookmarkEnd w:id="1090"/>
    </w:p>
    <w:p>
      <w:pPr>
        <w:pageBreakBefore w:val="off"/>
        <w:numPr>
          <w:ilvl w:val="2"/>
          <w:numId w:val="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32"/>
        </w:rPr>
      </w:pPr>
      <w:bookmarkStart w:name="" w:id="1091"/>
      <w:r>
        <w:rPr>
          <w:rFonts w:ascii="宋体" w:hAnsi="宋体" w:cs="宋体" w:eastAsia="宋体"/>
          <w:sz w:val="32"/>
          <w:spacing w:val="0"/>
          <w:b w:val="off"/>
          <w:i w:val="off"/>
        </w:rPr>
        <w:t>顶部无量；</w:t>
      </w:r>
      <w:bookmarkEnd w:id="1091"/>
    </w:p>
    <w:p>
      <w:pPr>
        <w:pageBreakBefore w:val="off"/>
        <w:numPr>
          <w:ilvl w:val="2"/>
          <w:numId w:val="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32"/>
        </w:rPr>
      </w:pPr>
      <w:bookmarkStart w:name="" w:id="1092"/>
      <w:r>
        <w:rPr>
          <w:rFonts w:ascii="宋体" w:hAnsi="宋体" w:cs="宋体" w:eastAsia="宋体"/>
          <w:sz w:val="32"/>
          <w:spacing w:val="0"/>
          <w:b w:val="off"/>
          <w:i w:val="off"/>
        </w:rPr>
        <w:t>斜率偏离过大。</w:t>
      </w:r>
      <w:bookmarkEnd w:id="109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9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板块轮动与补涨逻辑 </w:t>
      </w:r>
      <w:bookmarkEnd w:id="1093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94"/>
      <w:r>
        <w:rPr>
          <w:rFonts w:ascii="宋体" w:hAnsi="宋体" w:cs="宋体" w:eastAsia="宋体"/>
          <w:sz w:val="32"/>
          <w:spacing w:val="0"/>
          <w:b w:val="off"/>
          <w:i w:val="off"/>
        </w:rPr>
        <w:t>主线板块启动后，大资金会逐步挖掘低位标的。</w:t>
      </w:r>
      <w:bookmarkEnd w:id="1094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95"/>
      <w:r>
        <w:rPr>
          <w:rFonts w:ascii="宋体" w:hAnsi="宋体" w:cs="宋体" w:eastAsia="宋体"/>
          <w:sz w:val="32"/>
          <w:spacing w:val="0"/>
          <w:b w:val="off"/>
          <w:i w:val="off"/>
        </w:rPr>
        <w:t>补涨是普遍规律，时间早晚而已。</w:t>
      </w:r>
      <w:bookmarkEnd w:id="1095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96"/>
      <w:r>
        <w:rPr>
          <w:rFonts w:ascii="宋体" w:hAnsi="宋体" w:cs="宋体" w:eastAsia="宋体"/>
          <w:sz w:val="32"/>
          <w:spacing w:val="0"/>
          <w:b w:val="off"/>
          <w:i w:val="off"/>
        </w:rPr>
        <w:t>容错率高，不必频繁换股，除非发现“巨完美”图形。</w:t>
      </w:r>
      <w:bookmarkEnd w:id="109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97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成交量顶点识别法 </w:t>
      </w:r>
      <w:bookmarkEnd w:id="1097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98"/>
      <w:r>
        <w:rPr>
          <w:rFonts w:ascii="宋体" w:hAnsi="宋体" w:cs="宋体" w:eastAsia="宋体"/>
          <w:sz w:val="32"/>
          <w:spacing w:val="0"/>
          <w:b w:val="off"/>
          <w:i w:val="off"/>
        </w:rPr>
        <w:t>个股单日成交量超过222亿，可能构成历史大顶。</w:t>
      </w:r>
      <w:bookmarkEnd w:id="1098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99"/>
      <w:r>
        <w:rPr>
          <w:rFonts w:ascii="宋体" w:hAnsi="宋体" w:cs="宋体" w:eastAsia="宋体"/>
          <w:sz w:val="32"/>
          <w:spacing w:val="0"/>
          <w:b w:val="off"/>
          <w:i w:val="off"/>
        </w:rPr>
        <w:t>典型案例：</w:t>
      </w:r>
      <w:bookmarkEnd w:id="1099"/>
    </w:p>
    <w:p>
      <w:pPr>
        <w:pageBreakBefore w:val="off"/>
        <w:numPr>
          <w:ilvl w:val="2"/>
          <w:numId w:val="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32"/>
        </w:rPr>
      </w:pPr>
      <w:bookmarkStart w:name="" w:id="1100"/>
      <w:r>
        <w:rPr>
          <w:rFonts w:ascii="宋体" w:hAnsi="宋体" w:cs="宋体" w:eastAsia="宋体"/>
          <w:sz w:val="32"/>
          <w:spacing w:val="0"/>
          <w:b w:val="off"/>
          <w:i w:val="off"/>
        </w:rPr>
        <w:t>光线传媒：单日成交223亿，位于41.48元高点；</w:t>
      </w:r>
      <w:bookmarkEnd w:id="1100"/>
    </w:p>
    <w:p>
      <w:pPr>
        <w:pageBreakBefore w:val="off"/>
        <w:numPr>
          <w:ilvl w:val="2"/>
          <w:numId w:val="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32"/>
        </w:rPr>
      </w:pPr>
      <w:bookmarkStart w:name="" w:id="1101"/>
      <w:r>
        <w:rPr>
          <w:rFonts w:ascii="宋体" w:hAnsi="宋体" w:cs="宋体" w:eastAsia="宋体"/>
          <w:sz w:val="32"/>
          <w:spacing w:val="0"/>
          <w:b w:val="off"/>
          <w:i w:val="off"/>
        </w:rPr>
        <w:t>李优：253.4亿；</w:t>
      </w:r>
      <w:bookmarkEnd w:id="1101"/>
    </w:p>
    <w:p>
      <w:pPr>
        <w:pageBreakBefore w:val="off"/>
        <w:numPr>
          <w:ilvl w:val="2"/>
          <w:numId w:val="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32"/>
        </w:rPr>
      </w:pPr>
      <w:bookmarkStart w:name="" w:id="1102"/>
      <w:r>
        <w:rPr>
          <w:rFonts w:ascii="宋体" w:hAnsi="宋体" w:cs="宋体" w:eastAsia="宋体"/>
          <w:sz w:val="32"/>
          <w:spacing w:val="0"/>
          <w:b w:val="off"/>
          <w:i w:val="off"/>
        </w:rPr>
        <w:t>特变电工：267亿（三根S1集中出货）。</w:t>
      </w:r>
      <w:bookmarkEnd w:id="1102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103"/>
      <w:r>
        <w:rPr>
          <w:rFonts w:ascii="宋体" w:hAnsi="宋体" w:cs="宋体" w:eastAsia="宋体"/>
          <w:sz w:val="32"/>
          <w:spacing w:val="0"/>
          <w:b w:val="off"/>
          <w:i w:val="off"/>
        </w:rPr>
        <w:t>建议将“222亿以上即见顶”作为量化规则上报监管部门。</w:t>
      </w:r>
      <w:bookmarkEnd w:id="11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104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操盘精度与行业空间 </w:t>
      </w:r>
      <w:bookmarkEnd w:id="1104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105"/>
      <w:r>
        <w:rPr>
          <w:rFonts w:ascii="宋体" w:hAnsi="宋体" w:cs="宋体" w:eastAsia="宋体"/>
          <w:sz w:val="32"/>
          <w:spacing w:val="0"/>
          <w:b w:val="off"/>
          <w:i w:val="off"/>
        </w:rPr>
        <w:t>某些操盘手未能精准打到理论顶部（差1元），显示执行力差异。</w:t>
      </w:r>
      <w:bookmarkEnd w:id="1105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106"/>
      <w:r>
        <w:rPr>
          <w:rFonts w:ascii="宋体" w:hAnsi="宋体" w:cs="宋体" w:eastAsia="宋体"/>
          <w:sz w:val="32"/>
          <w:spacing w:val="0"/>
          <w:b w:val="off"/>
          <w:i w:val="off"/>
        </w:rPr>
        <w:t>真正推动股价的是“拉出行业空间”，吸引长期资金进场。</w:t>
      </w:r>
      <w:bookmarkEnd w:id="11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107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危险信号识别 </w:t>
      </w:r>
      <w:bookmarkEnd w:id="1107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108"/>
      <w:r>
        <w:rPr>
          <w:rFonts w:ascii="宋体" w:hAnsi="宋体" w:cs="宋体" w:eastAsia="宋体"/>
          <w:sz w:val="32"/>
          <w:spacing w:val="0"/>
          <w:b w:val="off"/>
          <w:i w:val="off"/>
        </w:rPr>
        <w:t>当“歌厅妈咪”和“健身房教练”都在谈论并买入某个题材（如商业航天），说明泡沫已现，风险极高。</w:t>
      </w:r>
      <w:bookmarkEnd w:id="11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109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S1之后的风险与勇气 </w:t>
      </w:r>
      <w:bookmarkEnd w:id="1109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110"/>
      <w:r>
        <w:rPr>
          <w:rFonts w:ascii="宋体" w:hAnsi="宋体" w:cs="宋体" w:eastAsia="宋体"/>
          <w:sz w:val="32"/>
          <w:spacing w:val="0"/>
          <w:b w:val="off"/>
          <w:i w:val="off"/>
        </w:rPr>
        <w:t>S1信号出现后仍敢追高者，虽被视为“汉子”，但极可能被套。</w:t>
      </w:r>
      <w:bookmarkEnd w:id="1110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111"/>
      <w:r>
        <w:rPr>
          <w:rFonts w:ascii="宋体" w:hAnsi="宋体" w:cs="宋体" w:eastAsia="宋体"/>
          <w:sz w:val="32"/>
          <w:spacing w:val="0"/>
          <w:b w:val="off"/>
          <w:i w:val="off"/>
        </w:rPr>
        <w:t>主力已在高位完成出货，后续上涨属诱多行为。</w:t>
      </w:r>
      <w:bookmarkEnd w:id="1111"/>
    </w:p>
    <w:sectPr>
      <w:footerReference r:id="rId5"/>
      <w:headerReference r:id="rId6" w:type="default"/>
      <w:pgSz w:w="15500" w:h="1972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media/image1.jpeg" Type="http://schemas.openxmlformats.org/officeDocument/2006/relationships/image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2026-01-21T23:09:16Z</dcterms:created>
  <dc:creator>Apache POI</dc:creator>
</cp:coreProperties>
</file>