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01"/>
      <w:r>
        <w:rPr>
          <w:rFonts w:ascii="宋体" w:hAnsi="宋体" w:cs="宋体" w:eastAsia="宋体"/>
          <w:sz w:val="32"/>
          <w:spacing w:val="0"/>
          <w:b w:val="off"/>
          <w:i w:val="off"/>
        </w:rPr>
        <w:t>本视频讲述了中国科技巨头在AI时代的核心竞争逻辑与投资策略，重点剖析了腾讯（小马哥）和小米（雷老板）在AI应用层的差异化优势：腾讯依托微信生态实现AI功能深度渗透与广告业务高效增长，小米则凭借安卓渠道垄断地位（50%分成）和全场景终端布局构建AIGC商业化护城河，并强调“跟大哥”策略下平台型企业的确定性盈利模式。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</w:pPr>
      <w:bookmarkStart w:name="" w:id="1002"/>
      <w:r>
        <w:drawing>
          <wp:inline distL="0" distR="0" distT="0" distB="0">
            <wp:extent cx="7556500" cy="43307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433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03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核心主题：AI时代“跟大哥”投资逻辑的提出 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04"/>
      <w:r>
        <w:rPr>
          <w:rFonts w:ascii="宋体" w:hAnsi="宋体" w:cs="宋体" w:eastAsia="宋体"/>
          <w:sz w:val="32"/>
          <w:spacing w:val="0"/>
          <w:b w:val="on"/>
          <w:i w:val="off"/>
        </w:rPr>
        <w:t>心理博弈策略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投资需跟随资本实力雄厚的行业龙头，既可选择实体产业龙头（如小米），也可选择资本运作龙头（如马老板、雷老板）。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05"/>
      <w:r>
        <w:rPr>
          <w:rFonts w:ascii="宋体" w:hAnsi="宋体" w:cs="宋体" w:eastAsia="宋体"/>
          <w:sz w:val="32"/>
          <w:spacing w:val="0"/>
          <w:b w:val="on"/>
          <w:i w:val="off"/>
        </w:rPr>
        <w:t>资本实力对比</w:t>
      </w:r>
      <w:bookmarkEnd w:id="1005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06"/>
      <w:r>
        <w:rPr>
          <w:rFonts w:ascii="宋体" w:hAnsi="宋体" w:cs="宋体" w:eastAsia="宋体"/>
          <w:sz w:val="32"/>
          <w:spacing w:val="0"/>
          <w:b w:val="off"/>
          <w:i w:val="off"/>
        </w:rPr>
        <w:t>马老板（腾讯）：日均投入7亿元，资金雄厚，运营从容。</w:t>
      </w:r>
      <w:bookmarkEnd w:id="1006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07"/>
      <w:r>
        <w:rPr>
          <w:rFonts w:ascii="宋体" w:hAnsi="宋体" w:cs="宋体" w:eastAsia="宋体"/>
          <w:sz w:val="32"/>
          <w:spacing w:val="0"/>
          <w:b w:val="off"/>
          <w:i w:val="off"/>
        </w:rPr>
        <w:t>雷老板（小米）：单次增持1亿元属“辛苦钱”，体现运营严谨与资金调度难度。</w:t>
      </w:r>
      <w:bookmarkEnd w:id="100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08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腾讯AI战略：M+驱动广告与生态升级 </w:t>
      </w:r>
      <w:bookmarkEnd w:id="1008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09"/>
      <w:r>
        <w:rPr>
          <w:rFonts w:ascii="宋体" w:hAnsi="宋体" w:cs="宋体" w:eastAsia="宋体"/>
          <w:sz w:val="32"/>
          <w:spacing w:val="0"/>
          <w:b w:val="on"/>
          <w:i w:val="off"/>
        </w:rPr>
        <w:t>AI优化广告业务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腾讯利用AI（M+）优化广告投放，三季度广告业务同比增长21%，源于AI决策与场景化产品刺激。</w:t>
      </w:r>
      <w:bookmarkEnd w:id="1009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10"/>
      <w:r>
        <w:rPr>
          <w:rFonts w:ascii="宋体" w:hAnsi="宋体" w:cs="宋体" w:eastAsia="宋体"/>
          <w:sz w:val="32"/>
          <w:spacing w:val="0"/>
          <w:b w:val="on"/>
          <w:i w:val="off"/>
        </w:rPr>
        <w:t>降本增效成果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AI应用减少大量人工成本，同时提升企业效率80%。</w:t>
      </w:r>
      <w:bookmarkEnd w:id="1010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11"/>
      <w:r>
        <w:rPr>
          <w:rFonts w:ascii="宋体" w:hAnsi="宋体" w:cs="宋体" w:eastAsia="宋体"/>
          <w:sz w:val="32"/>
          <w:spacing w:val="0"/>
          <w:b w:val="on"/>
          <w:i w:val="off"/>
        </w:rPr>
        <w:t>微信生态AI功能拓展</w:t>
      </w:r>
      <w:bookmarkEnd w:id="1011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12"/>
      <w:r>
        <w:rPr>
          <w:rFonts w:ascii="宋体" w:hAnsi="宋体" w:cs="宋体" w:eastAsia="宋体"/>
          <w:sz w:val="32"/>
          <w:spacing w:val="0"/>
          <w:b w:val="off"/>
          <w:i w:val="off"/>
        </w:rPr>
        <w:t>公众号、视频号、QQ音乐、微信小店等全面接入AI功能（如左上角AI入口）。</w:t>
      </w:r>
      <w:bookmarkEnd w:id="1012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13"/>
      <w:r>
        <w:rPr>
          <w:rFonts w:ascii="宋体" w:hAnsi="宋体" w:cs="宋体" w:eastAsia="宋体"/>
          <w:sz w:val="32"/>
          <w:spacing w:val="0"/>
          <w:b w:val="off"/>
          <w:i w:val="off"/>
        </w:rPr>
        <w:t>腾讯视频基于混元大模型上线AI角色通话功能。</w:t>
      </w:r>
      <w:bookmarkEnd w:id="1013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14"/>
      <w:r>
        <w:rPr>
          <w:rFonts w:ascii="宋体" w:hAnsi="宋体" w:cs="宋体" w:eastAsia="宋体"/>
          <w:sz w:val="32"/>
          <w:spacing w:val="0"/>
          <w:b w:val="on"/>
          <w:i w:val="off"/>
        </w:rPr>
        <w:t>游戏研发AI赋能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已深入AI研发100个游戏项目；3D动画管线技术使生产效率提升八倍以上。</w:t>
      </w:r>
      <w:bookmarkEnd w:id="101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15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小米AI战略：渠道垄断与全场景终端协同 </w:t>
      </w:r>
      <w:bookmarkEnd w:id="1015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16"/>
      <w:r>
        <w:rPr>
          <w:rFonts w:ascii="宋体" w:hAnsi="宋体" w:cs="宋体" w:eastAsia="宋体"/>
          <w:sz w:val="32"/>
          <w:spacing w:val="0"/>
          <w:b w:val="on"/>
          <w:i w:val="off"/>
        </w:rPr>
        <w:t>硬件不赚钱，软件靠渠道费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小米硬件利润率仅5%，真正盈利来源为中国安卓生态渠道费：小米、华为、OPPO等安卓厂商对游戏内购收取50%分成（远高于苹果30%）。</w:t>
      </w:r>
      <w:bookmarkEnd w:id="1016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17"/>
      <w:r>
        <w:rPr>
          <w:rFonts w:ascii="宋体" w:hAnsi="宋体" w:cs="宋体" w:eastAsia="宋体"/>
          <w:sz w:val="32"/>
          <w:spacing w:val="0"/>
          <w:b w:val="on"/>
          <w:i w:val="off"/>
        </w:rPr>
        <w:t>AIGC商业化核心壁垒</w:t>
      </w:r>
      <w:bookmarkEnd w:id="1017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18"/>
      <w:r>
        <w:rPr>
          <w:rFonts w:ascii="宋体" w:hAnsi="宋体" w:cs="宋体" w:eastAsia="宋体"/>
          <w:sz w:val="32"/>
          <w:spacing w:val="0"/>
          <w:b w:val="off"/>
          <w:i w:val="off"/>
        </w:rPr>
        <w:t>用户规模：小米手机在中国市场占有率稳居第二（偶超华为），确保应用分发绝对控制权。</w:t>
      </w:r>
      <w:bookmarkEnd w:id="1018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19"/>
      <w:r>
        <w:rPr>
          <w:rFonts w:ascii="宋体" w:hAnsi="宋体" w:cs="宋体" w:eastAsia="宋体"/>
          <w:sz w:val="32"/>
          <w:spacing w:val="0"/>
          <w:b w:val="off"/>
          <w:i w:val="off"/>
        </w:rPr>
        <w:t>全场景覆盖：整合手机端、智能家居端、汽车端（人车家全生态），构成中国上市企业中AIGC应用落地最广的终端矩阵。</w:t>
      </w:r>
      <w:bookmarkEnd w:id="1019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20"/>
      <w:r>
        <w:rPr>
          <w:rFonts w:ascii="宋体" w:hAnsi="宋体" w:cs="宋体" w:eastAsia="宋体"/>
          <w:sz w:val="32"/>
          <w:spacing w:val="0"/>
          <w:b w:val="on"/>
          <w:i w:val="off"/>
        </w:rPr>
        <w:t>大模型非必需，应用复制是关键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小米大模型能力不足，但无需自研，可直接规模化复制第三方大模型成果，聚焦大规模商用化落地。</w:t>
      </w:r>
      <w:bookmarkEnd w:id="102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21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平台级AIGC应用格局分析 </w:t>
      </w:r>
      <w:bookmarkEnd w:id="1021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22"/>
      <w:r>
        <w:rPr>
          <w:rFonts w:ascii="宋体" w:hAnsi="宋体" w:cs="宋体" w:eastAsia="宋体"/>
          <w:sz w:val="32"/>
          <w:spacing w:val="0"/>
          <w:b w:val="on"/>
          <w:i w:val="off"/>
        </w:rPr>
        <w:t>上市可投资平台仅两家</w:t>
      </w:r>
      <w:bookmarkEnd w:id="1022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23"/>
      <w:r>
        <w:rPr>
          <w:rFonts w:ascii="宋体" w:hAnsi="宋体" w:cs="宋体" w:eastAsia="宋体"/>
          <w:sz w:val="32"/>
          <w:spacing w:val="0"/>
          <w:b w:val="off"/>
          <w:i w:val="off"/>
        </w:rPr>
        <w:t>腾讯：微信小程序平台（用户基数最大）。</w:t>
      </w:r>
      <w:bookmarkEnd w:id="1023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24"/>
      <w:r>
        <w:rPr>
          <w:rFonts w:ascii="宋体" w:hAnsi="宋体" w:cs="宋体" w:eastAsia="宋体"/>
          <w:sz w:val="32"/>
          <w:spacing w:val="0"/>
          <w:b w:val="off"/>
          <w:i w:val="off"/>
        </w:rPr>
        <w:t>小米：小米应用商店平台（安卓渠道垄断，付费分成能力最强）。</w:t>
      </w:r>
      <w:bookmarkEnd w:id="1024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25"/>
      <w:r>
        <w:rPr>
          <w:rFonts w:ascii="宋体" w:hAnsi="宋体" w:cs="宋体" w:eastAsia="宋体"/>
          <w:sz w:val="32"/>
          <w:spacing w:val="0"/>
          <w:b w:val="on"/>
          <w:i w:val="off"/>
        </w:rPr>
        <w:t>其他平台局限性</w:t>
      </w:r>
      <w:bookmarkEnd w:id="1025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26"/>
      <w:r>
        <w:rPr>
          <w:rFonts w:ascii="宋体" w:hAnsi="宋体" w:cs="宋体" w:eastAsia="宋体"/>
          <w:sz w:val="32"/>
          <w:spacing w:val="0"/>
          <w:b w:val="off"/>
          <w:i w:val="off"/>
        </w:rPr>
        <w:t>支付宝（八八平台）、美图、B站等或用户规模不足，或APP内嵌AI功能落地困难。</w:t>
      </w:r>
      <w:bookmarkEnd w:id="1026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27"/>
      <w:r>
        <w:rPr>
          <w:rFonts w:ascii="宋体" w:hAnsi="宋体" w:cs="宋体" w:eastAsia="宋体"/>
          <w:sz w:val="32"/>
          <w:spacing w:val="0"/>
          <w:b w:val="off"/>
          <w:i w:val="off"/>
        </w:rPr>
        <w:t>字节跳动未上市，不具备A股直接投资标的属性。</w:t>
      </w:r>
      <w:bookmarkEnd w:id="102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28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AIGC风险警示与行业本质 </w:t>
      </w:r>
      <w:bookmarkEnd w:id="1028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29"/>
      <w:r>
        <w:rPr>
          <w:rFonts w:ascii="宋体" w:hAnsi="宋体" w:cs="宋体" w:eastAsia="宋体"/>
          <w:sz w:val="32"/>
          <w:spacing w:val="0"/>
          <w:b w:val="on"/>
          <w:i w:val="off"/>
        </w:rPr>
        <w:t>最大风险：巨头快速抄袭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AIGC初创应用面临被巨头“一夜抄裤衩都不剩”的风险，如Google新功能上线即导致竞品团队白干。</w:t>
      </w:r>
      <w:bookmarkEnd w:id="1029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30"/>
      <w:r>
        <w:rPr>
          <w:rFonts w:ascii="宋体" w:hAnsi="宋体" w:cs="宋体" w:eastAsia="宋体"/>
          <w:sz w:val="32"/>
          <w:spacing w:val="0"/>
          <w:b w:val="on"/>
          <w:i w:val="off"/>
        </w:rPr>
        <w:t>中国科技巨头“流氓性”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头部企业（腾讯、小米、阿里）具备极强渠道与资本优势，中小开发者实质为其打工。</w:t>
      </w:r>
      <w:bookmarkEnd w:id="103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31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投资策略总结：守株待兔式平台捕获 </w:t>
      </w:r>
      <w:bookmarkEnd w:id="1031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32"/>
      <w:r>
        <w:rPr>
          <w:rFonts w:ascii="宋体" w:hAnsi="宋体" w:cs="宋体" w:eastAsia="宋体"/>
          <w:sz w:val="32"/>
          <w:spacing w:val="0"/>
          <w:b w:val="on"/>
          <w:i w:val="off"/>
        </w:rPr>
        <w:t>确定性盈利模式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只要小米维持安卓第二市场份额，所有在其渠道分发的应用必须支付50%分成，“守株待兔”即可坐享收益。</w:t>
      </w:r>
      <w:bookmarkEnd w:id="1032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33"/>
      <w:r>
        <w:rPr>
          <w:rFonts w:ascii="宋体" w:hAnsi="宋体" w:cs="宋体" w:eastAsia="宋体"/>
          <w:sz w:val="32"/>
          <w:spacing w:val="0"/>
          <w:b w:val="on"/>
          <w:i w:val="off"/>
        </w:rPr>
        <w:t>对比腾讯不可替代性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微信作为国民级通讯工具无可平替（QQ、钉钉、飞书均属工作场景，非生活刚需），进一步强化其AI商业化确定性。</w:t>
      </w:r>
      <w:bookmarkEnd w:id="1033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34"/>
      <w:r>
        <w:rPr>
          <w:rFonts w:ascii="宋体" w:hAnsi="宋体" w:cs="宋体" w:eastAsia="宋体"/>
          <w:sz w:val="32"/>
          <w:spacing w:val="0"/>
          <w:b w:val="on"/>
          <w:i w:val="off"/>
        </w:rPr>
        <w:t>操作建议</w:t>
      </w:r>
      <w:bookmarkEnd w:id="1034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35"/>
      <w:r>
        <w:rPr>
          <w:rFonts w:ascii="宋体" w:hAnsi="宋体" w:cs="宋体" w:eastAsia="宋体"/>
          <w:sz w:val="32"/>
          <w:spacing w:val="0"/>
          <w:b w:val="off"/>
          <w:i w:val="off"/>
        </w:rPr>
        <w:t>短期：按技术图形交易（投机年，基本面失效）。</w:t>
      </w:r>
      <w:bookmarkEnd w:id="1035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36"/>
      <w:r>
        <w:rPr>
          <w:rFonts w:ascii="宋体" w:hAnsi="宋体" w:cs="宋体" w:eastAsia="宋体"/>
          <w:sz w:val="32"/>
          <w:spacing w:val="0"/>
          <w:b w:val="off"/>
          <w:i w:val="off"/>
        </w:rPr>
        <w:t>长期：聚焦平台型龙头，忽略系统优劣等非盈利争议，以“能否赚钱”为唯一标准。</w:t>
      </w:r>
      <w:bookmarkEnd w:id="1036"/>
    </w:p>
    <w:sectPr>
      <w:footerReference r:id="rId5"/>
      <w:headerReference r:id="rId6" w:type="default"/>
      <w:pgSz w:w="15500" w:h="1972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media/image1.jpeg" Type="http://schemas.openxmlformats.org/officeDocument/2006/relationships/image"/><Relationship Id="rId5" Target="footer1.xml" Type="http://schemas.openxmlformats.org/officeDocument/2006/relationships/footer"/><Relationship Id="rId6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2026-01-25T21:17:37Z</dcterms:created>
  <dc:creator>Apache POI</dc:creator>
</cp:coreProperties>
</file>