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本视频讲述了股票交易中“不纠结”原则的实战应用，强调以技术图形为唯一依据、严格遵循买卖纪律、避免情绪化决策，并通过多个案例（如观想科技、五矿资本等）解析击穿对手盘、放量阴线、S1信号等关键概念，倡导短线高频交易模式以提升胜率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7556500" cy="84582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核心理念：交易不纠结 </w:t>
      </w:r>
      <w:bookmarkEnd w:id="1003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无论买卖选股，一律不纠结；若产生纠结，即视为负面信号。</w:t>
      </w:r>
      <w:bookmarkEnd w:id="1004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牛股不让人等、不让人纠结；纠结即说明不符合强势股特征。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技术纪律总则 </w:t>
      </w:r>
      <w:bookmarkEnd w:id="1006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浮盈过多时不存在跌停焦虑，已无胜负心，只按既定纪律操作。</w:t>
      </w:r>
      <w:bookmarkEnd w:id="1007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交易本质是执行纪律，而非预测涨跌；“明天淳看病了，判断不了看病”，强调图形无法判断时即放弃主观臆断。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关键图形信号与应对 </w:t>
      </w:r>
      <w:bookmarkEnd w:id="1009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n"/>
          <w:i w:val="off"/>
        </w:rPr>
        <w:t>放量阴线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：出现即为危险信号，不可买入；如某票前有放量阴线，则“本来就不标准，没必要买”。</w:t>
      </w:r>
      <w:bookmarkEnd w:id="1010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n"/>
          <w:i w:val="off"/>
        </w:rPr>
        <w:t>击穿对手盘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：价格跌破关键支撑位（如下影线低点或黄线下方），即构成击穿，必须止损离场。</w:t>
      </w:r>
      <w:bookmarkEnd w:id="1011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n"/>
          <w:i w:val="off"/>
        </w:rPr>
        <w:t>S1信号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：顶部未出现S1形态（即未出现典型出货K线组合），则主力运作未结束；“大哥没有S1，一定是没完”。</w:t>
      </w:r>
      <w:bookmarkEnd w:id="1012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n"/>
          <w:i w:val="off"/>
        </w:rPr>
        <w:t>上影线+放量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：B1反弹后出现带量上影线，图形“不好看了”，第一进者应离场。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案例解析：观想科技 </w:t>
      </w:r>
      <w:bookmarkEnd w:id="1014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去年八月案例，从底部启动，十一至次年一月十二日完成翻番。</w:t>
      </w:r>
      <w:bookmarkEnd w:id="1015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启动初期击穿对手盘后持续在线下运行，属典型恶装——无量砸盘、横盘吸筹、随后暴拉。</w:t>
      </w:r>
      <w:bookmarkEnd w:id="1016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“太坏了，没人买，有命挣没命花”，警示此类票虽暴利但风险极高，非普通投资者可驾驭。</w:t>
      </w:r>
      <w:bookmarkEnd w:id="101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案例解析：五矿资本 </w:t>
      </w:r>
      <w:bookmarkEnd w:id="101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当前图形偏负面，假阴真阳亦不改变技术面恶化事实。</w:t>
      </w:r>
      <w:bookmarkEnd w:id="1019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操作策略：若按周三所讲“忍一根”，则观察次日能否缩量/放量收回至96.35元；若不能，则“这辈子就是卖，不用纠结”。</w:t>
      </w:r>
      <w:bookmarkEnd w:id="1020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满仓重仓者当前“很难受”，建议半仓应对，跌则平仓保利润，涨则不错失。</w:t>
      </w:r>
      <w:bookmarkEnd w:id="102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案例解析：华兰、泰利、亨通三票实证 </w:t>
      </w:r>
      <w:bookmarkEnd w:id="1022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华兰（华南）：B2介入，涨幅46%。</w:t>
      </w:r>
      <w:bookmarkEnd w:id="1023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泰利：单针探底20元介入，回调一日后上涨25%。</w:t>
      </w:r>
      <w:bookmarkEnd w:id="1024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亨通：单针探底20元介入，涨幅10%，提前毕业。</w:t>
      </w:r>
      <w:bookmarkEnd w:id="1025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共同特征：斜率改变、红长绿短、加速启动，均按S1信号止盈，实现“一波段吃满”。</w:t>
      </w:r>
      <w:bookmarkEnd w:id="102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短线交易模型 </w:t>
      </w:r>
      <w:bookmarkEnd w:id="1027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目标非单票涨停，而是高胜率+高换手率：例如A票亏1%即走，立即切换至B票当日浮盈2.46%，两笔合计盈利1.46%。</w:t>
      </w:r>
      <w:bookmarkEnd w:id="102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强调“大量交易积累利润”，拒绝“等一个10%涨停”的幻想。</w:t>
      </w:r>
      <w:bookmarkEnd w:id="1029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熊市需精细判断，牛市则“满街都是美女，拉上一个就走”。</w:t>
      </w:r>
      <w:bookmarkEnd w:id="103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风险提示与阶段策略 </w:t>
      </w:r>
      <w:bookmarkEnd w:id="1031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当前机会集中于300、688及大盘股（“数大的六六六几数大的里边”）。</w:t>
      </w:r>
      <w:bookmarkEnd w:id="1032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严禁追高：“别别追别追”。</w:t>
      </w:r>
      <w:bookmarkEnd w:id="1033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>新粉老粉共修重点：从“扎马步”基础（30%课程）迈向“不纠结”极致境界，后续将专讲“短线不纠结交易体系”。</w:t>
      </w:r>
      <w:bookmarkEnd w:id="103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直播与课程安排 </w:t>
      </w:r>
      <w:bookmarkEnd w:id="1035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>B站获“最佳节目效果奖”，自嘲“吹牛逼赛道”，强调内容实为硬核交易逻辑输出。</w:t>
      </w:r>
      <w:bookmarkEnd w:id="1036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7"/>
      <w:r>
        <w:rPr>
          <w:rFonts w:ascii="宋体" w:hAnsi="宋体" w:cs="宋体" w:eastAsia="宋体"/>
          <w:sz w:val="32"/>
          <w:spacing w:val="0"/>
          <w:b w:val="off"/>
          <w:i w:val="off"/>
        </w:rPr>
        <w:t>三亚驻留期间随时开播；春节加餐课定于大年初四、初五；课表将系统化发布。</w:t>
      </w:r>
      <w:bookmarkEnd w:id="1037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8"/>
      <w:r>
        <w:rPr>
          <w:rFonts w:ascii="宋体" w:hAnsi="宋体" w:cs="宋体" w:eastAsia="宋体"/>
          <w:sz w:val="32"/>
          <w:spacing w:val="0"/>
          <w:b w:val="off"/>
          <w:i w:val="off"/>
        </w:rPr>
        <w:t>全课程尚未过半，当前仅为底层能力建设，“哭哭成名作”式短线教学因难度高、易亏损暂不展开。</w:t>
      </w:r>
      <w:bookmarkEnd w:id="1038"/>
    </w:p>
    <w:sectPr>
      <w:footerReference r:id="rId5"/>
      <w:headerReference r:id="rId6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media/image1.jpeg" Type="http://schemas.openxmlformats.org/officeDocument/2006/relationships/image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2026-01-25T21:18:48Z</dcterms:created>
  <dc:creator>Apache POI</dc:creator>
</cp:coreProperties>
</file>