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本视频讲述了股票市场中板块轮动逻辑、主力资金卡节奏操盘手法及散户认知误区的深度解析，强调同一板块内龙头轮换的必然性、对手盘博弈的本质，以及资金量与操作心态的关联性。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7556500" cy="101981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19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直播开场与风格说明 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n"/>
          <w:i w:val="off"/>
        </w:rPr>
        <w:t>直播风格定位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主播明确表示不关注娱乐八卦（杨幂、迪丽热巴等），强调“眼里只有你们”，拒绝无意义闲聊，直奔投资主题。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n"/>
          <w:i w:val="off"/>
        </w:rPr>
        <w:t>背景与场景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直播地点为珠海，参与CMG电视剧盛典活动前夕；背景音乐存在听感问题，主播多次确认观众能否听见。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n"/>
          <w:i w:val="off"/>
        </w:rPr>
        <w:t>内容边界声明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明确直播间主业为“卖鞋”，投资内容属附加交流；所有分析“绝对没有任何推荐”，仅为逻辑探讨。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当前市场结构性特征分析 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n"/>
          <w:i w:val="off"/>
        </w:rPr>
        <w:t>历史牛市对比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2006–2007年大牛市：所有股票至少翻1.2倍；</w:t>
      </w:r>
      <w:bookmarkEnd w:id="1009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2014–2015年大牛市：所有股票至少翻一倍；</w:t>
      </w:r>
      <w:bookmarkEnd w:id="1010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2023年9月24日至今“慢牛”：全市场仅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>145只股票翻番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，凸显超级结构性行情。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n"/>
          <w:i w:val="off"/>
        </w:rPr>
        <w:t>指数涨幅体感偏差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沪深300等指数从2700点升至4100–4200点，实际涨幅约52%，但多数个股未同步上涨，导致“体感牛市”与真实收益错配。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板块轮动核心逻辑阐释 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n"/>
          <w:i w:val="off"/>
        </w:rPr>
        <w:t>轮动必要性</w:t>
      </w:r>
      <w:bookmarkEnd w:id="1014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避免单一龙头崩盘导致整个板块熄火（如监管、出货、突发利空）；</w:t>
      </w:r>
      <w:bookmarkEnd w:id="1015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大逻辑主线（如商业航天、有色、特高压）需持续轮动维持炒作周期。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n"/>
          <w:i w:val="off"/>
        </w:rPr>
        <w:t>轮动表现形式</w:t>
      </w:r>
      <w:bookmarkEnd w:id="101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同一板块内龙头切换：铜板块上一波为江西铜业，补涨为北方铜业；铝板块上一波为中国铝业，本轮为南山铝业；特高压上一波为特变电工，本轮为西电、思源电气。</w:t>
      </w:r>
      <w:bookmarkEnd w:id="101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轮动非均匀：有票先涨（如北铜）、有票后涨（如江铜），但“早上涨、晚上涨”口诀成立。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n"/>
          <w:i w:val="off"/>
        </w:rPr>
        <w:t>非轮动例外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纯游资快进快出板块（如疫苗概念）不适用轮动逻辑，因其无长期逻辑支撑。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主力操盘术：卡节奏与对手盘博弈 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n"/>
          <w:i w:val="off"/>
        </w:rPr>
        <w:t>卡节奏目的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并非针对散户，而是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>卡住其他主力/机构对手盘的交易节奏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，迫使其暴露持仓意图。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n"/>
          <w:i w:val="off"/>
        </w:rPr>
        <w:t>对手盘定义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单笔超300万元的买卖动作即构成对手盘；主力通过盘口挂单（如卖五200万、卖六450万）监测大额异动。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n"/>
          <w:i w:val="off"/>
        </w:rPr>
        <w:t>卡节奏实操</w:t>
      </w:r>
      <w:bookmarkEnd w:id="102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缩量洗盘：如北铜在58%涨幅后缩量两根长下影线，精准清洗浮筹；</w:t>
      </w:r>
      <w:bookmarkEnd w:id="102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放量试探：古巴散户追涨—下跌—再追涨—再下跌，主力借其情绪波动完成筹码交换；</w:t>
      </w:r>
      <w:bookmarkEnd w:id="1026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>黄线压制：主力不敢跌破黄线（成本线），否则筹码被“捡尸体”的大鳄抢走。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n"/>
          <w:i w:val="off"/>
        </w:rPr>
        <w:t>S1信号识别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次高点成交量若未超前高，则不构成出货信号；当前北铜无S1，应“忍一忍”。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散户角色与认知误区澄清 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0"/>
      <w:r>
        <w:rPr>
          <w:rFonts w:ascii="宋体" w:hAnsi="宋体" w:cs="宋体" w:eastAsia="宋体"/>
          <w:sz w:val="32"/>
          <w:spacing w:val="0"/>
          <w:b w:val="on"/>
          <w:i w:val="off"/>
        </w:rPr>
        <w:t>散户市场地位</w:t>
      </w:r>
      <w:bookmarkEnd w:id="1030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中国2.5亿股民中，90%账户资金＜5万元，总资金体量小，对主力无实质影响；</w:t>
      </w:r>
      <w:bookmarkEnd w:id="1031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散户核心价值是提供表面流动性与人气，非主力博弈对象。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3"/>
      <w:r>
        <w:rPr>
          <w:rFonts w:ascii="宋体" w:hAnsi="宋体" w:cs="宋体" w:eastAsia="宋体"/>
          <w:sz w:val="32"/>
          <w:spacing w:val="0"/>
          <w:b w:val="on"/>
          <w:i w:val="off"/>
        </w:rPr>
        <w:t>常见错误行为</w:t>
      </w:r>
      <w:bookmarkEnd w:id="1033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>追涨杀跌（如古巴散户反复进出）；</w:t>
      </w:r>
      <w:bookmarkEnd w:id="1034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t>过度分散（3万元分6个5000元标的），导致操作疲劳、体感恶化；</w:t>
      </w:r>
      <w:bookmarkEnd w:id="1035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>误将“Z家军”与主力互动，实为“Z家军”与“古巴人”互相踩踏。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3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资金量与操作心态关系 </w:t>
      </w:r>
      <w:bookmarkEnd w:id="103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8"/>
      <w:r>
        <w:rPr>
          <w:rFonts w:ascii="宋体" w:hAnsi="宋体" w:cs="宋体" w:eastAsia="宋体"/>
          <w:sz w:val="32"/>
          <w:spacing w:val="0"/>
          <w:b w:val="on"/>
          <w:i w:val="off"/>
        </w:rPr>
        <w:t>资金量决定容错率</w:t>
      </w:r>
      <w:bookmarkEnd w:id="103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大资金（百万级）可承受58%浮盈下的缩量洗盘，因“58%在兜里揣得好好的”；</w:t>
      </w:r>
      <w:bookmarkEnd w:id="103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小资金（2–5万元）易受短期波动干扰，陷入“天天骂骂咧咧问北铜怎么办”。</w:t>
      </w:r>
      <w:bookmarkEnd w:id="104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1"/>
      <w:r>
        <w:rPr>
          <w:rFonts w:ascii="宋体" w:hAnsi="宋体" w:cs="宋体" w:eastAsia="宋体"/>
          <w:sz w:val="32"/>
          <w:spacing w:val="0"/>
          <w:b w:val="on"/>
          <w:i w:val="off"/>
        </w:rPr>
        <w:t>底气源于筹码优势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“认知”本质是“输的底气”，底气来自财大气粗；无筹码优势时，强行模仿主力操作必败。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42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实操建议与风险提示 </w:t>
      </w:r>
      <w:bookmarkEnd w:id="104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3"/>
      <w:r>
        <w:rPr>
          <w:rFonts w:ascii="宋体" w:hAnsi="宋体" w:cs="宋体" w:eastAsia="宋体"/>
          <w:sz w:val="32"/>
          <w:spacing w:val="0"/>
          <w:b w:val="on"/>
          <w:i w:val="off"/>
        </w:rPr>
        <w:t>底仓配置原则</w:t>
      </w:r>
      <w:bookmarkEnd w:id="1043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4"/>
      <w:r>
        <w:rPr>
          <w:rFonts w:ascii="宋体" w:hAnsi="宋体" w:cs="宋体" w:eastAsia="宋体"/>
          <w:sz w:val="32"/>
          <w:spacing w:val="0"/>
          <w:b w:val="off"/>
          <w:i w:val="off"/>
        </w:rPr>
        <w:t>3万元不宜分6份，建议集中持有1只指数基金或1只核心标的；</w:t>
      </w:r>
      <w:bookmarkEnd w:id="104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>50万元可分4份（每份10–12.5万元），留2.5万元机动加仓。</w:t>
      </w:r>
      <w:bookmarkEnd w:id="104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6"/>
      <w:r>
        <w:rPr>
          <w:rFonts w:ascii="宋体" w:hAnsi="宋体" w:cs="宋体" w:eastAsia="宋体"/>
          <w:sz w:val="32"/>
          <w:spacing w:val="0"/>
          <w:b w:val="on"/>
          <w:i w:val="off"/>
        </w:rPr>
        <w:t>短线玩法警示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主播称短线轮动“太难”，恐致听众“走火入魔”，暂不公开，强调“时机成熟再讲”。</w:t>
      </w:r>
      <w:bookmarkEnd w:id="104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7"/>
      <w:r>
        <w:rPr>
          <w:rFonts w:ascii="宋体" w:hAnsi="宋体" w:cs="宋体" w:eastAsia="宋体"/>
          <w:sz w:val="32"/>
          <w:spacing w:val="0"/>
          <w:b w:val="on"/>
          <w:i w:val="off"/>
        </w:rPr>
        <w:t>终极心法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“时间换空间”：主力通过横盘震荡消耗对手盘耐心，待筹码干净后爆发；投资者需放弃“每次抓龙头”的幻想，转向科学配置。</w:t>
      </w:r>
      <w:bookmarkEnd w:id="1047"/>
    </w:p>
    <w:sectPr>
      <w:footerReference r:id="rId5"/>
      <w:headerReference r:id="rId6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media/image1.jpeg" Type="http://schemas.openxmlformats.org/officeDocument/2006/relationships/image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2026-01-28T19:33:32Z</dcterms:created>
  <dc:creator>Apache POI</dc:creator>
</cp:coreProperties>
</file>