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01"/>
      <w:r>
        <w:rPr>
          <w:rFonts w:ascii="宋体" w:hAnsi="宋体" w:cs="宋体" w:eastAsia="宋体"/>
          <w:sz w:val="32"/>
          <w:spacing w:val="0"/>
          <w:b w:val="off"/>
          <w:i w:val="off"/>
        </w:rPr>
        <w:t>本视频讲述了股票投资中“底气”的双重来源——资金实力与认知深度，强调在交易中首要确保不亏损（通过止损纪律），其次追求盈利；并以澳门与拉斯维加斯赌局类比市场博弈逻辑，指出A股主力资金行为受周期驱动（如科技与白酒负相关轮动）、行业格局演变（地产时代→科技时代）及伟大企业诞生于伟大国家与周期的历史规律。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7556500" cy="49149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03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核心概念：底气的双重构成 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04"/>
      <w:r>
        <w:rPr>
          <w:rFonts w:ascii="宋体" w:hAnsi="宋体" w:cs="宋体" w:eastAsia="宋体"/>
          <w:sz w:val="32"/>
          <w:spacing w:val="0"/>
          <w:b w:val="on"/>
          <w:i w:val="off"/>
        </w:rPr>
        <w:t>筹码优势即底气</w:t>
      </w:r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 </w:t>
      </w:r>
      <w:bookmarkEnd w:id="1004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05"/>
      <w:r>
        <w:rPr>
          <w:rFonts w:ascii="宋体" w:hAnsi="宋体" w:cs="宋体" w:eastAsia="宋体"/>
          <w:sz w:val="32"/>
          <w:spacing w:val="0"/>
          <w:b w:val="off"/>
          <w:i w:val="off"/>
        </w:rPr>
        <w:t>在绝对实力（如澳门大额筹码）面前，一切技巧失效。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06"/>
      <w:r>
        <w:rPr>
          <w:rFonts w:ascii="宋体" w:hAnsi="宋体" w:cs="宋体" w:eastAsia="宋体"/>
          <w:sz w:val="32"/>
          <w:spacing w:val="0"/>
          <w:b w:val="on"/>
          <w:i w:val="off"/>
        </w:rPr>
        <w:t>底气的第一来源：输得起</w:t>
      </w:r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 </w:t>
      </w:r>
      <w:bookmarkEnd w:id="1006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07"/>
      <w:r>
        <w:rPr>
          <w:rFonts w:ascii="宋体" w:hAnsi="宋体" w:cs="宋体" w:eastAsia="宋体"/>
          <w:sz w:val="32"/>
          <w:spacing w:val="0"/>
          <w:b w:val="off"/>
          <w:i w:val="off"/>
        </w:rPr>
        <w:t>如500万账户持有100万标的，可承受两个跌停（20万损失）而不影响生存。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08"/>
      <w:r>
        <w:rPr>
          <w:rFonts w:ascii="宋体" w:hAnsi="宋体" w:cs="宋体" w:eastAsia="宋体"/>
          <w:sz w:val="32"/>
          <w:spacing w:val="0"/>
          <w:b w:val="on"/>
          <w:i w:val="off"/>
        </w:rPr>
        <w:t>底气的第二来源：看得懂</w:t>
      </w:r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 </w:t>
      </w:r>
      <w:bookmarkEnd w:id="1008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09"/>
      <w:r>
        <w:rPr>
          <w:rFonts w:ascii="宋体" w:hAnsi="宋体" w:cs="宋体" w:eastAsia="宋体"/>
          <w:sz w:val="32"/>
          <w:spacing w:val="0"/>
          <w:b w:val="off"/>
          <w:i w:val="off"/>
        </w:rPr>
        <w:t>基于基本面估值（如煤炭港股新高而A股低位）、量价关系、业绩支撑及策略匹配度形成的确定性判断。</w:t>
      </w:r>
      <w:bookmarkEnd w:id="1009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10"/>
      <w:r>
        <w:rPr>
          <w:rFonts w:ascii="宋体" w:hAnsi="宋体" w:cs="宋体" w:eastAsia="宋体"/>
          <w:sz w:val="32"/>
          <w:spacing w:val="0"/>
          <w:b w:val="on"/>
          <w:i w:val="off"/>
        </w:rPr>
        <w:t>终极底气：既输得起又看得懂</w:t>
      </w:r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 </w:t>
      </w:r>
      <w:bookmarkEnd w:id="1010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11"/>
      <w:r>
        <w:rPr>
          <w:rFonts w:ascii="宋体" w:hAnsi="宋体" w:cs="宋体" w:eastAsia="宋体"/>
          <w:sz w:val="32"/>
          <w:spacing w:val="0"/>
          <w:b w:val="off"/>
          <w:i w:val="off"/>
        </w:rPr>
        <w:t>二者结合形成高胜率交易基础，等同于“确定性”。</w:t>
      </w:r>
      <w:bookmarkEnd w:id="101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12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交易纪律：亏损可控是零一底线 </w:t>
      </w:r>
      <w:bookmarkEnd w:id="1012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13"/>
      <w:r>
        <w:rPr>
          <w:rFonts w:ascii="宋体" w:hAnsi="宋体" w:cs="宋体" w:eastAsia="宋体"/>
          <w:sz w:val="32"/>
          <w:spacing w:val="0"/>
          <w:b w:val="on"/>
          <w:i w:val="off"/>
        </w:rPr>
        <w:t>亏损与盈利的本质区别</w:t>
      </w:r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 </w:t>
      </w:r>
      <w:bookmarkEnd w:id="1013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14"/>
      <w:r>
        <w:rPr>
          <w:rFonts w:ascii="宋体" w:hAnsi="宋体" w:cs="宋体" w:eastAsia="宋体"/>
          <w:sz w:val="32"/>
          <w:spacing w:val="0"/>
          <w:b w:val="off"/>
          <w:i w:val="off"/>
        </w:rPr>
        <w:t>“亏钱”与“不亏钱”是零与一的区别；“赚多赚少”是一后面有多少零的问题。</w:t>
      </w:r>
      <w:bookmarkEnd w:id="1014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15"/>
      <w:r>
        <w:rPr>
          <w:rFonts w:ascii="宋体" w:hAnsi="宋体" w:cs="宋体" w:eastAsia="宋体"/>
          <w:sz w:val="32"/>
          <w:spacing w:val="0"/>
          <w:b w:val="on"/>
          <w:i w:val="off"/>
        </w:rPr>
        <w:t>右侧交易必须设止损</w:t>
      </w:r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 </w:t>
      </w:r>
      <w:bookmarkEnd w:id="1015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16"/>
      <w:r>
        <w:rPr>
          <w:rFonts w:ascii="宋体" w:hAnsi="宋体" w:cs="宋体" w:eastAsia="宋体"/>
          <w:sz w:val="32"/>
          <w:spacing w:val="0"/>
          <w:b w:val="off"/>
          <w:i w:val="off"/>
        </w:rPr>
        <w:t>破黄线即走，因青花、赛赛、欧普光等历史案例证明破位后易深度亏损。</w:t>
      </w:r>
      <w:bookmarkEnd w:id="1016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17"/>
      <w:r>
        <w:rPr>
          <w:rFonts w:ascii="宋体" w:hAnsi="宋体" w:cs="宋体" w:eastAsia="宋体"/>
          <w:sz w:val="32"/>
          <w:spacing w:val="0"/>
          <w:b w:val="on"/>
          <w:i w:val="off"/>
        </w:rPr>
        <w:t>空仓是确保不亏的终极手段</w:t>
      </w:r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 </w:t>
      </w:r>
      <w:bookmarkEnd w:id="1017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18"/>
      <w:r>
        <w:rPr>
          <w:rFonts w:ascii="宋体" w:hAnsi="宋体" w:cs="宋体" w:eastAsia="宋体"/>
          <w:sz w:val="32"/>
          <w:spacing w:val="0"/>
          <w:b w:val="off"/>
          <w:i w:val="off"/>
        </w:rPr>
        <w:t>十万账户年底一分不输的确定性解法即空仓，验证“能亏多少钱由自己决定”。</w:t>
      </w:r>
      <w:bookmarkEnd w:id="101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19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市场对比：澳门vs拉斯维加斯的博弈隐喻 </w:t>
      </w:r>
      <w:bookmarkEnd w:id="1019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20"/>
      <w:r>
        <w:rPr>
          <w:rFonts w:ascii="宋体" w:hAnsi="宋体" w:cs="宋体" w:eastAsia="宋体"/>
          <w:sz w:val="32"/>
          <w:spacing w:val="0"/>
          <w:b w:val="on"/>
          <w:i w:val="off"/>
        </w:rPr>
        <w:t>澳门牌桌推不动</w:t>
      </w:r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 </w:t>
      </w:r>
      <w:bookmarkEnd w:id="1020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21"/>
      <w:r>
        <w:rPr>
          <w:rFonts w:ascii="宋体" w:hAnsi="宋体" w:cs="宋体" w:eastAsia="宋体"/>
          <w:sz w:val="32"/>
          <w:spacing w:val="0"/>
          <w:b w:val="off"/>
          <w:i w:val="off"/>
        </w:rPr>
        <w:t>对手身份不明（东北大哥/西北矿业王），筹码雄厚（电话再送2000万），技巧失效。</w:t>
      </w:r>
      <w:bookmarkEnd w:id="1021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22"/>
      <w:r>
        <w:rPr>
          <w:rFonts w:ascii="宋体" w:hAnsi="宋体" w:cs="宋体" w:eastAsia="宋体"/>
          <w:sz w:val="32"/>
          <w:spacing w:val="0"/>
          <w:b w:val="on"/>
          <w:i w:val="off"/>
        </w:rPr>
        <w:t>拉斯维加斯可推走</w:t>
      </w:r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 </w:t>
      </w:r>
      <w:bookmarkEnd w:id="1022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23"/>
      <w:r>
        <w:rPr>
          <w:rFonts w:ascii="宋体" w:hAnsi="宋体" w:cs="宋体" w:eastAsia="宋体"/>
          <w:sz w:val="32"/>
          <w:spacing w:val="0"/>
          <w:b w:val="off"/>
          <w:i w:val="off"/>
        </w:rPr>
        <w:t>对手穷且易意气用事（兜里剩20美金仍call），情绪外露（舍不得底池/想收底），可预判其行为。</w:t>
      </w:r>
      <w:bookmarkEnd w:id="102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24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盘面解析：江铜与有色板块的拉升逻辑 </w:t>
      </w:r>
      <w:bookmarkEnd w:id="1024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25"/>
      <w:r>
        <w:rPr>
          <w:rFonts w:ascii="宋体" w:hAnsi="宋体" w:cs="宋体" w:eastAsia="宋体"/>
          <w:sz w:val="32"/>
          <w:spacing w:val="0"/>
          <w:b w:val="on"/>
          <w:i w:val="off"/>
        </w:rPr>
        <w:t>强势股引领行情</w:t>
      </w:r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 </w:t>
      </w:r>
      <w:bookmarkEnd w:id="1025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26"/>
      <w:r>
        <w:rPr>
          <w:rFonts w:ascii="宋体" w:hAnsi="宋体" w:cs="宋体" w:eastAsia="宋体"/>
          <w:sz w:val="32"/>
          <w:spacing w:val="0"/>
          <w:b w:val="off"/>
          <w:i w:val="off"/>
        </w:rPr>
        <w:t>江铜单月涨58%，带动整个有色板块（如北铜补涨）。</w:t>
      </w:r>
      <w:bookmarkEnd w:id="1026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27"/>
      <w:r>
        <w:rPr>
          <w:rFonts w:ascii="宋体" w:hAnsi="宋体" w:cs="宋体" w:eastAsia="宋体"/>
          <w:sz w:val="32"/>
          <w:spacing w:val="0"/>
          <w:b w:val="on"/>
          <w:i w:val="off"/>
        </w:rPr>
        <w:t>缩量横盘即时间换空间</w:t>
      </w:r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 </w:t>
      </w:r>
      <w:bookmarkEnd w:id="1027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28"/>
      <w:r>
        <w:rPr>
          <w:rFonts w:ascii="宋体" w:hAnsi="宋体" w:cs="宋体" w:eastAsia="宋体"/>
          <w:sz w:val="32"/>
          <w:spacing w:val="0"/>
          <w:b w:val="off"/>
          <w:i w:val="off"/>
        </w:rPr>
        <w:t>流通市值1335亿、日成交81亿的盘子，横盘因主力等待散户恐慌割肉后新“饿狼”入场。</w:t>
      </w:r>
      <w:bookmarkEnd w:id="1028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29"/>
      <w:r>
        <w:rPr>
          <w:rFonts w:ascii="宋体" w:hAnsi="宋体" w:cs="宋体" w:eastAsia="宋体"/>
          <w:sz w:val="32"/>
          <w:spacing w:val="0"/>
          <w:b w:val="on"/>
          <w:i w:val="off"/>
        </w:rPr>
        <w:t>期货大佬主导有色行情</w:t>
      </w:r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 </w:t>
      </w:r>
      <w:bookmarkEnd w:id="1029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30"/>
      <w:r>
        <w:rPr>
          <w:rFonts w:ascii="宋体" w:hAnsi="宋体" w:cs="宋体" w:eastAsia="宋体"/>
          <w:sz w:val="32"/>
          <w:spacing w:val="0"/>
          <w:b w:val="off"/>
          <w:i w:val="off"/>
        </w:rPr>
        <w:t>黄金期货多头敢跌即抄底，迫使主力顺势而为顶至60.6元。</w:t>
      </w:r>
      <w:bookmarkEnd w:id="103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31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周期规律：科技与白酒的负相关轮动 </w:t>
      </w:r>
      <w:bookmarkEnd w:id="1031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32"/>
      <w:r>
        <w:rPr>
          <w:rFonts w:ascii="宋体" w:hAnsi="宋体" w:cs="宋体" w:eastAsia="宋体"/>
          <w:sz w:val="32"/>
          <w:spacing w:val="0"/>
          <w:b w:val="on"/>
          <w:i w:val="off"/>
        </w:rPr>
        <w:t>周期镜像结构</w:t>
      </w:r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 </w:t>
      </w:r>
      <w:bookmarkEnd w:id="1032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33"/>
      <w:r>
        <w:rPr>
          <w:rFonts w:ascii="宋体" w:hAnsi="宋体" w:cs="宋体" w:eastAsia="宋体"/>
          <w:sz w:val="32"/>
          <w:spacing w:val="0"/>
          <w:b w:val="off"/>
          <w:i w:val="off"/>
        </w:rPr>
        <w:t>科技（新钱/新贵）与白酒（老钱/传统）走势长期负相关，反映市场新旧势力博弈。</w:t>
      </w:r>
      <w:bookmarkEnd w:id="1033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34"/>
      <w:r>
        <w:rPr>
          <w:rFonts w:ascii="宋体" w:hAnsi="宋体" w:cs="宋体" w:eastAsia="宋体"/>
          <w:sz w:val="32"/>
          <w:spacing w:val="0"/>
          <w:b w:val="on"/>
          <w:i w:val="off"/>
        </w:rPr>
        <w:t>崩溃点即转折信号</w:t>
      </w:r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 </w:t>
      </w:r>
      <w:bookmarkEnd w:id="1034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35"/>
      <w:r>
        <w:rPr>
          <w:rFonts w:ascii="宋体" w:hAnsi="宋体" w:cs="宋体" w:eastAsia="宋体"/>
          <w:sz w:val="32"/>
          <w:spacing w:val="0"/>
          <w:b w:val="off"/>
          <w:i w:val="off"/>
        </w:rPr>
        <w:t>缩量绝望（如证券2022年4月14元）、放量绝望后往往开启反转，此为“崩溃点战术”适用场景。</w:t>
      </w:r>
      <w:bookmarkEnd w:id="103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36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伟大企业：诞生于伟大国家与周期 </w:t>
      </w:r>
      <w:bookmarkEnd w:id="1036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37"/>
      <w:r>
        <w:rPr>
          <w:rFonts w:ascii="宋体" w:hAnsi="宋体" w:cs="宋体" w:eastAsia="宋体"/>
          <w:sz w:val="32"/>
          <w:spacing w:val="0"/>
          <w:b w:val="on"/>
          <w:i w:val="off"/>
        </w:rPr>
        <w:t>伟大企业的四重条件</w:t>
      </w:r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 </w:t>
      </w:r>
      <w:bookmarkEnd w:id="1037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38"/>
      <w:r>
        <w:rPr>
          <w:rFonts w:ascii="宋体" w:hAnsi="宋体" w:cs="宋体" w:eastAsia="宋体"/>
          <w:sz w:val="32"/>
          <w:spacing w:val="0"/>
          <w:b w:val="off"/>
          <w:i w:val="off"/>
        </w:rPr>
        <w:t>伟大国家 → 伟大周期（如地产时代/科技时代） → 伟大行业（如招保万金/科技龙头） → 伟大公司（如小米、华为、比亚迪）。</w:t>
      </w:r>
      <w:bookmarkEnd w:id="1038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39"/>
      <w:r>
        <w:rPr>
          <w:rFonts w:ascii="宋体" w:hAnsi="宋体" w:cs="宋体" w:eastAsia="宋体"/>
          <w:sz w:val="32"/>
          <w:spacing w:val="0"/>
          <w:b w:val="on"/>
          <w:i w:val="off"/>
        </w:rPr>
        <w:t>投资者行动纲领</w:t>
      </w:r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 </w:t>
      </w:r>
      <w:bookmarkEnd w:id="1039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40"/>
      <w:r>
        <w:rPr>
          <w:rFonts w:ascii="宋体" w:hAnsi="宋体" w:cs="宋体" w:eastAsia="宋体"/>
          <w:sz w:val="32"/>
          <w:spacing w:val="0"/>
          <w:b w:val="off"/>
          <w:i w:val="off"/>
        </w:rPr>
        <w:t>在中国科技创新时代，主动寻找当前“招保万金”级标的，伴随其完成完整周期。</w:t>
      </w:r>
      <w:bookmarkEnd w:id="104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41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认知升维：从技巧到知行合一 </w:t>
      </w:r>
      <w:bookmarkEnd w:id="1041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42"/>
      <w:r>
        <w:rPr>
          <w:rFonts w:ascii="宋体" w:hAnsi="宋体" w:cs="宋体" w:eastAsia="宋体"/>
          <w:sz w:val="32"/>
          <w:spacing w:val="0"/>
          <w:b w:val="on"/>
          <w:i w:val="off"/>
        </w:rPr>
        <w:t>技巧源于知行合一</w:t>
      </w:r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 </w:t>
      </w:r>
      <w:bookmarkEnd w:id="1042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43"/>
      <w:r>
        <w:rPr>
          <w:rFonts w:ascii="宋体" w:hAnsi="宋体" w:cs="宋体" w:eastAsia="宋体"/>
          <w:sz w:val="32"/>
          <w:spacing w:val="0"/>
          <w:b w:val="off"/>
          <w:i w:val="off"/>
        </w:rPr>
        <w:t>B1/B2交易体系盈利，本质是认知转化为纪律执行的结果。</w:t>
      </w:r>
      <w:bookmarkEnd w:id="1043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44"/>
      <w:r>
        <w:rPr>
          <w:rFonts w:ascii="宋体" w:hAnsi="宋体" w:cs="宋体" w:eastAsia="宋体"/>
          <w:sz w:val="32"/>
          <w:spacing w:val="0"/>
          <w:b w:val="on"/>
          <w:i w:val="off"/>
        </w:rPr>
        <w:t>命定上限与努力下限</w:t>
      </w:r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 </w:t>
      </w:r>
      <w:bookmarkEnd w:id="1044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45"/>
      <w:r>
        <w:rPr>
          <w:rFonts w:ascii="宋体" w:hAnsi="宋体" w:cs="宋体" w:eastAsia="宋体"/>
          <w:sz w:val="32"/>
          <w:spacing w:val="0"/>
          <w:b w:val="off"/>
          <w:i w:val="off"/>
        </w:rPr>
        <w:t>赚大钱是命（如王健林级财富），但赚够生活的好钱可通过方法（纪律+认知）必然实现。</w:t>
      </w:r>
      <w:bookmarkEnd w:id="1045"/>
    </w:p>
    <w:sectPr>
      <w:footerReference r:id="rId5"/>
      <w:headerReference r:id="rId6" w:type="default"/>
      <w:pgSz w:w="15500" w:h="1972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media/image1.jpeg" Type="http://schemas.openxmlformats.org/officeDocument/2006/relationships/image"/><Relationship Id="rId5" Target="footer1.xml" Type="http://schemas.openxmlformats.org/officeDocument/2006/relationships/footer"/><Relationship Id="rId6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2026-01-28T19:36:46Z</dcterms:created>
  <dc:creator>Apache POI</dc:creator>
</cp:coreProperties>
</file>