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01"/>
      <w:r>
        <w:rPr>
          <w:rFonts w:ascii="宋体" w:hAnsi="宋体" w:cs="宋体" w:eastAsia="宋体"/>
          <w:sz w:val="32"/>
          <w:spacing w:val="0"/>
          <w:b w:val="off"/>
          <w:i w:val="off"/>
        </w:rPr>
        <w:t>本视频讲述了通过万科、伊利、招商银行等典型案例，揭示投资中“抓时代、抓板块、抓龙头”的核心逻辑，强调伟大公司往往在早期即具行业领导力，而长期财富积累关键在于理解产业周期、国家政策与企业成长阶段的匹配，并区分“捡碎银”与“布局时代资产”的不同策略。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</w:pPr>
      <w:bookmarkStart w:name="" w:id="1002"/>
      <w:r>
        <w:drawing>
          <wp:inline distL="0" distR="0" distT="0" distB="0">
            <wp:extent cx="7556500" cy="3835400"/>
            <wp:docPr id="2" name="Drawing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383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32"/>
        </w:rPr>
      </w:pPr>
      <w:bookmarkStart w:name="" w:id="1003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万科案例：中国房地产黄金三十年的复权增长验证 </w:t>
      </w:r>
      <w:bookmarkEnd w:id="1003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04"/>
      <w:r>
        <w:rPr>
          <w:rFonts w:ascii="宋体" w:hAnsi="宋体" w:cs="宋体" w:eastAsia="宋体"/>
          <w:sz w:val="32"/>
          <w:spacing w:val="0"/>
          <w:b w:val="on"/>
          <w:i w:val="off"/>
        </w:rPr>
        <w:t>上市起点与历史背景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
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1991年改革开放初期上市，初始股价5.9元（取整6元），彼时中国房地产尚未启动。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05"/>
      <w:r>
        <w:rPr>
          <w:rFonts w:ascii="宋体" w:hAnsi="宋体" w:cs="宋体" w:eastAsia="宋体"/>
          <w:sz w:val="32"/>
          <w:spacing w:val="0"/>
          <w:b w:val="on"/>
          <w:i w:val="off"/>
        </w:rPr>
        <w:t>完整周期跨度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
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经历中国房地产高速发展阶段，从1991年至2021年行业峰值，历时30年。</w:t>
      </w:r>
      <w:bookmarkEnd w:id="1005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06"/>
      <w:r>
        <w:rPr>
          <w:rFonts w:ascii="宋体" w:hAnsi="宋体" w:cs="宋体" w:eastAsia="宋体"/>
          <w:sz w:val="32"/>
          <w:spacing w:val="0"/>
          <w:b w:val="on"/>
          <w:i w:val="off"/>
        </w:rPr>
        <w:t>后复权涨幅计算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
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从5.54元涨至5930元， </w:t>
      </w:r>
      <w:r>
        <w:t xml:space="preserve"> </w:t>
      </w:r>
      <m:oMath xmlns:m="http://schemas.openxmlformats.org/officeDocument/2006/math" xmlns:mml="http://www.w3.org/1998/Math/MathML">
        <m:f>
          <m:fPr>
            <m:type m:val="bar"/>
          </m:fPr>
          <m:num>
            <m:r>
              <w:rPr>
                <w:rFonts w:ascii="Cambria Math" w:hAnsi="Cambria Math"/>
              </w:rPr>
              <m:t>5930</m:t>
            </m:r>
          </m:num>
          <m:den>
            <m:r>
              <w:rPr>
                <w:rFonts w:ascii="Cambria Math" w:hAnsi="Cambria Math"/>
              </w:rPr>
              <m:t>5.54</m:t>
            </m:r>
          </m:den>
        </m:f>
        <m:r>
          <w:rPr>
            <w:rFonts w:ascii="Cambria Math" w:hAnsi="Cambria Math"/>
          </w:rPr>
          <m:t>≈1070</m:t>
        </m:r>
      </m:oMath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倍，简化为1000倍。</w:t>
      </w:r>
      <w:bookmarkEnd w:id="1006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07"/>
      <w:r>
        <w:rPr>
          <w:rFonts w:ascii="宋体" w:hAnsi="宋体" w:cs="宋体" w:eastAsia="宋体"/>
          <w:sz w:val="32"/>
          <w:spacing w:val="0"/>
          <w:b w:val="on"/>
          <w:i w:val="off"/>
        </w:rPr>
        <w:t>政策转折点定位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
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“房住不炒”于2016年提出，对应股价约4000元位置，此后进入行业周期尾声。</w:t>
      </w:r>
      <w:bookmarkEnd w:id="1007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08"/>
      <w:r>
        <w:rPr>
          <w:rFonts w:ascii="宋体" w:hAnsi="宋体" w:cs="宋体" w:eastAsia="宋体"/>
          <w:sz w:val="32"/>
          <w:spacing w:val="0"/>
          <w:b w:val="on"/>
          <w:i w:val="off"/>
        </w:rPr>
        <w:t>时代符号解读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
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2003年起市场确认万科商业模式可行，王石作为CEO成为时代商业符号，其商业代言能力（如中国移动）远超同期科技企业家。</w:t>
      </w:r>
      <w:bookmarkEnd w:id="100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32"/>
        </w:rPr>
      </w:pPr>
      <w:bookmarkStart w:name="" w:id="1009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伊利案例：中国消费升级十年的核心标的 </w:t>
      </w:r>
      <w:bookmarkEnd w:id="1009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10"/>
      <w:r>
        <w:rPr>
          <w:rFonts w:ascii="宋体" w:hAnsi="宋体" w:cs="宋体" w:eastAsia="宋体"/>
          <w:sz w:val="32"/>
          <w:spacing w:val="0"/>
          <w:b w:val="on"/>
          <w:i w:val="off"/>
        </w:rPr>
        <w:t>行业起点与格局形成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
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1996年中国人均牛奶消费极低，城市为主、农村未普及；随后形成伊利、蒙牛、光明、三元全国性垄断格局。</w:t>
      </w:r>
      <w:bookmarkEnd w:id="1010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11"/>
      <w:r>
        <w:rPr>
          <w:rFonts w:ascii="宋体" w:hAnsi="宋体" w:cs="宋体" w:eastAsia="宋体"/>
          <w:sz w:val="32"/>
          <w:spacing w:val="0"/>
          <w:b w:val="on"/>
          <w:i w:val="off"/>
        </w:rPr>
        <w:t>非上市公司排除法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
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三鹿未上市，君乐宝亦未上市（发言人明确“没印象上过市”），故可交易标的仅限伊利等已上市公司。</w:t>
      </w:r>
      <w:bookmarkEnd w:id="1011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12"/>
      <w:r>
        <w:rPr>
          <w:rFonts w:ascii="宋体" w:hAnsi="宋体" w:cs="宋体" w:eastAsia="宋体"/>
          <w:sz w:val="32"/>
          <w:spacing w:val="0"/>
          <w:b w:val="on"/>
          <w:i w:val="off"/>
        </w:rPr>
        <w:t>后复权股价表现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
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伊利作为“14亿人十年消费升级核心标的”，后复权股价从上市初7元涨至2600多元，覆盖任意历史买入时点（含2007年牛市高点367元）。</w:t>
      </w:r>
      <w:bookmarkEnd w:id="1012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13"/>
      <w:r>
        <w:rPr>
          <w:rFonts w:ascii="宋体" w:hAnsi="宋体" w:cs="宋体" w:eastAsia="宋体"/>
          <w:sz w:val="32"/>
          <w:spacing w:val="0"/>
          <w:b w:val="on"/>
          <w:i w:val="off"/>
        </w:rPr>
        <w:t>持有行为现实约束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
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“极少人能一直拿着”，凸显知行分离困境。</w:t>
      </w:r>
      <w:bookmarkEnd w:id="101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32"/>
        </w:rPr>
      </w:pPr>
      <w:bookmarkStart w:name="" w:id="1014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招商银行案例：银行股的长期复权范本 </w:t>
      </w:r>
      <w:bookmarkEnd w:id="1014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15"/>
      <w:r>
        <w:rPr>
          <w:rFonts w:ascii="宋体" w:hAnsi="宋体" w:cs="宋体" w:eastAsia="宋体"/>
          <w:sz w:val="32"/>
          <w:spacing w:val="0"/>
          <w:b w:val="on"/>
          <w:i w:val="off"/>
        </w:rPr>
        <w:t>绝对涨幅数据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
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后复权股价从8.92元涨至251元，涨幅约26倍。</w:t>
      </w:r>
      <w:bookmarkEnd w:id="1015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16"/>
      <w:r>
        <w:rPr>
          <w:rFonts w:ascii="宋体" w:hAnsi="宋体" w:cs="宋体" w:eastAsia="宋体"/>
          <w:sz w:val="32"/>
          <w:spacing w:val="0"/>
          <w:b w:val="on"/>
          <w:i w:val="off"/>
        </w:rPr>
        <w:t>对比参照系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
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1万元本金可增值至26万元，虽不及万科千倍，但印证优质金融龙头的稳健成长性。</w:t>
      </w:r>
      <w:bookmarkEnd w:id="101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32"/>
        </w:rPr>
      </w:pPr>
      <w:bookmarkStart w:name="" w:id="1017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时代判断方法论：三重嵌套逻辑 </w:t>
      </w:r>
      <w:bookmarkEnd w:id="1017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18"/>
      <w:r>
        <w:rPr>
          <w:rFonts w:ascii="宋体" w:hAnsi="宋体" w:cs="宋体" w:eastAsia="宋体"/>
          <w:sz w:val="32"/>
          <w:spacing w:val="0"/>
          <w:b w:val="on"/>
          <w:i w:val="off"/>
        </w:rPr>
        <w:t>第一层：伟大时代识别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
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中国过去30年为地产时代，未来15–20年为科技时代（“十四五”至“十七五”），核心方向包括AIGC、半导体、新能源等国家战略产业。</w:t>
      </w:r>
      <w:bookmarkEnd w:id="1018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19"/>
      <w:r>
        <w:rPr>
          <w:rFonts w:ascii="宋体" w:hAnsi="宋体" w:cs="宋体" w:eastAsia="宋体"/>
          <w:sz w:val="32"/>
          <w:spacing w:val="0"/>
          <w:b w:val="on"/>
          <w:i w:val="off"/>
        </w:rPr>
        <w:t>第二层：伟大板块锚定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
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地产时代对应招保万金，科技时代对应小米、腾讯、阿里、字节、OPPO/vivo等具备全球竞争力的科技企业集群。</w:t>
      </w:r>
      <w:bookmarkEnd w:id="1019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20"/>
      <w:r>
        <w:rPr>
          <w:rFonts w:ascii="宋体" w:hAnsi="宋体" w:cs="宋体" w:eastAsia="宋体"/>
          <w:sz w:val="32"/>
          <w:spacing w:val="0"/>
          <w:b w:val="on"/>
          <w:i w:val="off"/>
        </w:rPr>
        <w:t>第三层：伟大公司筛选标准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</w:t>
      </w:r>
      <w:bookmarkEnd w:id="1020"/>
    </w:p>
    <w:p>
      <w:pPr>
        <w:pageBreakBefore w:val="off"/>
        <w:numPr>
          <w:ilvl w:val="1"/>
          <w:numId w:val="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21"/>
      <w:r>
        <w:rPr>
          <w:rFonts w:ascii="宋体" w:hAnsi="宋体" w:cs="宋体" w:eastAsia="宋体"/>
          <w:sz w:val="32"/>
          <w:spacing w:val="0"/>
          <w:b w:val="off"/>
          <w:i w:val="off"/>
        </w:rPr>
        <w:t>早期即具行业统治力（如16岁梅西、14岁C罗），非后期成就才被认可；</w:t>
      </w:r>
      <w:bookmarkEnd w:id="1021"/>
    </w:p>
    <w:p>
      <w:pPr>
        <w:pageBreakBefore w:val="off"/>
        <w:numPr>
          <w:ilvl w:val="1"/>
          <w:numId w:val="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22"/>
      <w:r>
        <w:rPr>
          <w:rFonts w:ascii="宋体" w:hAnsi="宋体" w:cs="宋体" w:eastAsia="宋体"/>
          <w:sz w:val="32"/>
          <w:spacing w:val="0"/>
          <w:b w:val="off"/>
          <w:i w:val="off"/>
        </w:rPr>
        <w:t>商业模式清晰且不可复制（如微软Windows一出即造就盖茨首富）；</w:t>
      </w:r>
      <w:bookmarkEnd w:id="1022"/>
    </w:p>
    <w:p>
      <w:pPr>
        <w:pageBreakBefore w:val="off"/>
        <w:numPr>
          <w:ilvl w:val="1"/>
          <w:numId w:val="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23"/>
      <w:r>
        <w:rPr>
          <w:rFonts w:ascii="宋体" w:hAnsi="宋体" w:cs="宋体" w:eastAsia="宋体"/>
          <w:sz w:val="32"/>
          <w:spacing w:val="0"/>
          <w:b w:val="off"/>
          <w:i w:val="off"/>
        </w:rPr>
        <w:t>赶上结构性红利（如英伟达三波：游戏显卡→比特币挖矿→AI算力）。</w:t>
      </w:r>
      <w:bookmarkEnd w:id="102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32"/>
        </w:rPr>
      </w:pPr>
      <w:bookmarkStart w:name="" w:id="1024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投资者分层策略：本金决定行为模式 </w:t>
      </w:r>
      <w:bookmarkEnd w:id="1024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25"/>
      <w:r>
        <w:rPr>
          <w:rFonts w:ascii="宋体" w:hAnsi="宋体" w:cs="宋体" w:eastAsia="宋体"/>
          <w:sz w:val="32"/>
          <w:spacing w:val="0"/>
          <w:b w:val="on"/>
          <w:i w:val="off"/>
        </w:rPr>
        <w:t>输不起者（小资金）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
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本金少→风险承受力弱→执行“大街上捡钱”策略：快进快出、见好就收、积少成多。</w:t>
      </w:r>
      <w:bookmarkEnd w:id="1025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26"/>
      <w:r>
        <w:rPr>
          <w:rFonts w:ascii="宋体" w:hAnsi="宋体" w:cs="宋体" w:eastAsia="宋体"/>
          <w:sz w:val="32"/>
          <w:spacing w:val="0"/>
          <w:b w:val="on"/>
          <w:i w:val="off"/>
        </w:rPr>
        <w:t>输得起者（大资金）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
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500万本金中拿出100万→配置符合国策的行业龙头→在相对低位长期持有→享受时代β与公司α双重收益。</w:t>
      </w:r>
      <w:bookmarkEnd w:id="1026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27"/>
      <w:r>
        <w:rPr>
          <w:rFonts w:ascii="宋体" w:hAnsi="宋体" w:cs="宋体" w:eastAsia="宋体"/>
          <w:sz w:val="32"/>
          <w:spacing w:val="0"/>
          <w:b w:val="on"/>
          <w:i w:val="off"/>
        </w:rPr>
        <w:t>老钱逻辑印证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
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招商银行前100大股东长期不动，靠股权抵押获取流动性，静待五年以上行情兑现。</w:t>
      </w:r>
      <w:bookmarkEnd w:id="102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32"/>
        </w:rPr>
      </w:pPr>
      <w:bookmarkStart w:name="" w:id="1028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认知跃迁路径：从“看不懂”到“敢下注” </w:t>
      </w:r>
      <w:bookmarkEnd w:id="1028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29"/>
      <w:r>
        <w:rPr>
          <w:rFonts w:ascii="宋体" w:hAnsi="宋体" w:cs="宋体" w:eastAsia="宋体"/>
          <w:sz w:val="32"/>
          <w:spacing w:val="0"/>
          <w:b w:val="on"/>
          <w:i w:val="off"/>
        </w:rPr>
        <w:t>三阶段识别模型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</w:t>
      </w:r>
      <w:bookmarkEnd w:id="1029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30"/>
      <w:r>
        <w:rPr>
          <w:rFonts w:ascii="宋体" w:hAnsi="宋体" w:cs="宋体" w:eastAsia="宋体"/>
          <w:sz w:val="32"/>
          <w:spacing w:val="0"/>
          <w:b w:val="on"/>
          <w:i w:val="off"/>
        </w:rPr>
        <w:t>早期（6岁梅西）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：极少数专业机构（如巴萨球探）能识别，散户无法参与；</w:t>
      </w:r>
      <w:bookmarkEnd w:id="1030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31"/>
      <w:r>
        <w:rPr>
          <w:rFonts w:ascii="宋体" w:hAnsi="宋体" w:cs="宋体" w:eastAsia="宋体"/>
          <w:sz w:val="32"/>
          <w:spacing w:val="0"/>
          <w:b w:val="on"/>
          <w:i w:val="off"/>
        </w:rPr>
        <w:t>中期（16岁梅西）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：业绩、市值、行业地位已显著超越同业，成交量放大为信号；</w:t>
      </w:r>
      <w:bookmarkEnd w:id="1031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32"/>
      <w:r>
        <w:rPr>
          <w:rFonts w:ascii="宋体" w:hAnsi="宋体" w:cs="宋体" w:eastAsia="宋体"/>
          <w:sz w:val="32"/>
          <w:spacing w:val="0"/>
          <w:b w:val="on"/>
          <w:i w:val="off"/>
        </w:rPr>
        <w:t>晚期（24岁C罗）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：全球共识形成，但仍有巨大空间（如小米若被视作24岁C罗，则当前估值仍处上升通道）。</w:t>
      </w:r>
      <w:bookmarkEnd w:id="1032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33"/>
      <w:r>
        <w:rPr>
          <w:rFonts w:ascii="宋体" w:hAnsi="宋体" w:cs="宋体" w:eastAsia="宋体"/>
          <w:sz w:val="32"/>
          <w:spacing w:val="0"/>
          <w:b w:val="on"/>
          <w:i w:val="off"/>
        </w:rPr>
        <w:t>关键检验点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
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当资本市场给予显著溢价（如股价突破历史平台、PE持续高于行业均值），即为“看懂”信号。</w:t>
      </w:r>
      <w:bookmarkEnd w:id="103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32"/>
        </w:rPr>
      </w:pPr>
      <w:bookmarkStart w:name="" w:id="1034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终极心法：想象力即生产力 </w:t>
      </w:r>
      <w:bookmarkEnd w:id="1034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35"/>
      <w:r>
        <w:rPr>
          <w:rFonts w:ascii="宋体" w:hAnsi="宋体" w:cs="宋体" w:eastAsia="宋体"/>
          <w:sz w:val="32"/>
          <w:spacing w:val="0"/>
          <w:b w:val="on"/>
          <w:i w:val="off"/>
        </w:rPr>
        <w:t>黄金案例反证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
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黄金从300元/克涨至1200元/克，非因首饰需求，而是主权国家集体增持驱动；能拿住者唯一依靠“敢想”——相信国家意志可重构商品定价权。</w:t>
      </w:r>
      <w:bookmarkEnd w:id="1035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36"/>
      <w:r>
        <w:rPr>
          <w:rFonts w:ascii="宋体" w:hAnsi="宋体" w:cs="宋体" w:eastAsia="宋体"/>
          <w:sz w:val="32"/>
          <w:spacing w:val="0"/>
          <w:b w:val="on"/>
          <w:i w:val="off"/>
        </w:rPr>
        <w:t>散户失败本质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
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声称“早该买黄金拿至今”的人，实则未入门：真持仓者必经历价格剧烈波动下的心理崩溃（“一根阴线就掐死”），所谓“长期持有”是结果而非策略。</w:t>
      </w:r>
      <w:bookmarkEnd w:id="1036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37"/>
      <w:r>
        <w:rPr>
          <w:rFonts w:ascii="宋体" w:hAnsi="宋体" w:cs="宋体" w:eastAsia="宋体"/>
          <w:sz w:val="32"/>
          <w:spacing w:val="0"/>
          <w:b w:val="on"/>
          <w:i w:val="off"/>
        </w:rPr>
        <w:t>行动纲领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
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放弃幻想，接受“捡碎银”与“布局长线”双轨并行；用技术方法解决短期生存，用时代认知解决长期富足。</w:t>
      </w:r>
      <w:bookmarkEnd w:id="1037"/>
    </w:p>
    <w:sectPr>
      <w:footerReference r:id="rId5"/>
      <w:headerReference r:id="rId6" w:type="default"/>
      <w:pgSz w:w="15500" w:h="1972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media/image1.jpeg" Type="http://schemas.openxmlformats.org/officeDocument/2006/relationships/image"/><Relationship Id="rId5" Target="footer1.xml" Type="http://schemas.openxmlformats.org/officeDocument/2006/relationships/footer"/><Relationship Id="rId6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2026-01-28T19:33:43Z</dcterms:created>
  <dc:creator>Apache POI</dc:creator>
</cp:coreProperties>
</file>