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以“铁蝴蝶”“瑜伽裤”等隐喻解析资本市场中主力资金（“大哥”）的操盘逻辑，核心在于识别股票走势中的标志性出货信号（S1），强调空仓是主动交易策略、时间成本即资金利息、以及对市场节奏与主力意图的深度共情式研判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8559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核心隐喻与底层逻辑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颜值变现与时间成本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将市场参与者比作“铁蝴蝶”“瑜伽裤”，其核心目标是“颜值变现”，即通过股价上涨实现资本套现；“青春”对应“时间成本”，即资金占用产生的利息，主力必须在有限时间内完成建仓、拉升、出货全流程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S1（Sell One）定义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S1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指最终由具备雄厚实力的“大哥”（大资金方）接盘完成的标志性出货点，是所有强势股必然经历的终极环节，而非技术性调整或散户博弈。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主力操盘行为解构 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t>筛选机制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所有盘面细节（一颦一笑）本质是同步向三方传递信号：向工作人员展示合规性、向“大哥”释放可接盘信号、向同行宣示控盘力、向自身强化信心。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>大哥标准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大哥”首要条件是资金实力，其次才是附加属性（如颜值）；王嘉尔、周杰伦等虽具知名度，但若无法提供确定性接盘能力，则不构成有效S1对象；真正有效的“大哥”是“大哥里边也有帅的”，即资金与符号价值兼具者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S1识别与实战判据 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S1必要性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任何前期走势流畅、涨幅巨大（如三倍）的“大美女票”，无论形态多完美，终将面临S1出货，不存在永续上涨。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>S1失效情形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若预期S1未兑现（如中继股从87元涨至447元后崩盘），则主力被迫高位横盘“保养”，维持股价等待新大哥；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若长期无S1，则可能降级寻求“小二代”接盘（需放量阳线突破黄线确认），再失败则转向“公务员”（稳健资金）层级。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>S1失败信号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跌破黄线（主力成本线）后反弹无力、量能不足，表明“小二代”亦无力承接，须果断清仓。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空仓作为主动交易策略 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>空仓即交易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仓位为0并非“未交易”，而是决策系统输出的明确指令，等同于买入/卖出操作；量化策略中“空仓”列为独立仓位档位（0~100），代表零伤亡战术执行。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零伤亡哲学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散户核心误区在于将“不操作”等同于“怂”；职业交易视空仓为最高效率作战——规避不确定性风险，保留本金等待高确定性机会，如特种部队“侦察后零伤亡撤退”。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大盘节奏研判 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n"/>
          <w:i w:val="off"/>
        </w:rPr>
        <w:t>缩量长下影线含义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高位出现缩量长下影，表明恐慌盘未充分释放，后续存在两种路径：洗盘（快速收回）或继续杀跌（恐慌盘涌出），需结合次日量价验证。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慢牛结构特征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健康慢牛呈现45度斜率上升，伴随阶段性横盘蓄势（“做一圈”），创新高后再度蓄势；当前4117点为两年高位，若回调深度可控（如不破4000点），属正常波段震荡。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>关键风控阈值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活跃市值跌破-2.3%为重大预警信号，预示波段行情终结，须动态减仓；美股崩盘是唯一可能触发深度调整的外部变量。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（内容由AI生成）</w:t>
      </w:r>
      <w:bookmarkEnd w:id="1022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2026-02-01T23:23:36Z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MIes0Ew2efrk4uu0Q/HHhFxUvB9LhxCK43UM3/7IqU=","ProduceID":"quark_quick_note:0bdf8730ae4e5902a24b07be0d038694","ReservedCode2":"nMIes0Ew2efrk4uu0Q/HHhFxUvB9LhxCK43UM3/7IqU=","PropagateID":"quark_quick_note:0bdf8730ae4e5902a24b07be0d038694","ContentProducer":"001191440101MA9Y9T4H7A00000"}</vt:lpwstr>
  </property>
</Properties>
</file>