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01"/>
      <w:r>
        <w:rPr>
          <w:rFonts w:ascii="宋体" w:hAnsi="宋体" w:cs="宋体" w:eastAsia="宋体"/>
          <w:sz w:val="32"/>
          <w:spacing w:val="0"/>
          <w:b w:val="off"/>
          <w:i w:val="off"/>
        </w:rPr>
        <w:t>本视频讲述了股票交易中基于技术图形（如白线、黄线、S1形态、放量/缩量等）识别主力行为、判断波段结束与洗盘逻辑的核心方法，强调摒弃外部噪音、专注个股自身走势与对手盘互动，并通过多个案例解析了N型结构、颜值变现、板块轮动及顶部标志性K线等实战要点。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7556500" cy="87249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72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0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核心交易理念：摒弃噪音，专注个股走势与对手盘 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4"/>
      <w:r>
        <w:rPr>
          <w:rFonts w:ascii="宋体" w:hAnsi="宋体" w:cs="宋体" w:eastAsia="宋体"/>
          <w:sz w:val="32"/>
          <w:spacing w:val="0"/>
          <w:b w:val="on"/>
          <w:i w:val="off"/>
        </w:rPr>
        <w:t>核心原则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交易决策应完全基于个股K线图本身，而非美联储、外盘、黄金白银等外部宏观信息。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5"/>
      <w:r>
        <w:rPr>
          <w:rFonts w:ascii="宋体" w:hAnsi="宋体" w:cs="宋体" w:eastAsia="宋体"/>
          <w:sz w:val="32"/>
          <w:spacing w:val="0"/>
          <w:b w:val="on"/>
          <w:i w:val="off"/>
        </w:rPr>
        <w:t>对手盘逻辑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任何交易的本质是与当前市场中的对手盘互动，而非预测或跟随宏观趋势。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06"/>
      <w:r>
        <w:rPr>
          <w:rFonts w:ascii="宋体" w:hAnsi="宋体" w:cs="宋体" w:eastAsia="宋体"/>
          <w:sz w:val="32"/>
          <w:spacing w:val="0"/>
          <w:b w:val="on"/>
          <w:i w:val="off"/>
        </w:rPr>
        <w:t>赛道与主线/主题区分</w:t>
      </w:r>
      <w:bookmarkEnd w:id="1006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主线：贯穿时间长，如新能源车、AI医疗、商业航天。</w:t>
      </w:r>
      <w:bookmarkEnd w:id="1007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主题：按季度轮动，如航天展、半导体调整期。</w:t>
      </w:r>
      <w:bookmarkEnd w:id="1008"/>
    </w:p>
    <w:p>
      <w:pPr>
        <w:pageBreakBefore w:val="off"/>
        <w:numPr>
          <w:ilvl w:val="1"/>
          <w:numId w:val="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牛股选择法则：在主线中选龙头，或在主题中选龙头；且需在低位启动初期即识别，而非涨停后追高。</w:t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0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技术形态识别：N型结构与回撤逻辑 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1"/>
      <w:r>
        <w:rPr>
          <w:rFonts w:ascii="宋体" w:hAnsi="宋体" w:cs="宋体" w:eastAsia="宋体"/>
          <w:sz w:val="32"/>
          <w:spacing w:val="0"/>
          <w:b w:val="on"/>
          <w:i w:val="off"/>
        </w:rPr>
        <w:t>N型结构定义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N型结构必含回撤，不存在“一直直着”的N型；所谓“直N”实为回撤未完成的假象。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2"/>
      <w:r>
        <w:rPr>
          <w:rFonts w:ascii="宋体" w:hAnsi="宋体" w:cs="宋体" w:eastAsia="宋体"/>
          <w:sz w:val="32"/>
          <w:spacing w:val="0"/>
          <w:b w:val="on"/>
          <w:i w:val="off"/>
        </w:rPr>
        <w:t>回撤合理性判断</w:t>
      </w:r>
      <w:bookmarkEnd w:id="1012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>离白线过远必然回调（如【82】-【83】：“离白线太远了，你不还不让人调吗？”）。</w:t>
      </w:r>
      <w:bookmarkEnd w:id="1013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回调形态应流畅自然，生硬突兀（如【132】-【133】“盘空的并不好，它很生硬”）往往预示主力控盘不稳或新手操盘。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5"/>
      <w:r>
        <w:rPr>
          <w:rFonts w:ascii="宋体" w:hAnsi="宋体" w:cs="宋体" w:eastAsia="宋体"/>
          <w:sz w:val="32"/>
          <w:spacing w:val="0"/>
          <w:b w:val="on"/>
          <w:i w:val="off"/>
        </w:rPr>
        <w:t>时间节点配合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结合春节假期（2月15日）推演：若13日为节前最后交易日，则6日—13日为关键窗口，预期下礼拜一（节后首日）拐头向上，形成两周节奏。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16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顶部识别：S1形态与放量出货信号 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7"/>
      <w:r>
        <w:rPr>
          <w:rFonts w:ascii="宋体" w:hAnsi="宋体" w:cs="宋体" w:eastAsia="宋体"/>
          <w:sz w:val="32"/>
          <w:spacing w:val="0"/>
          <w:b w:val="on"/>
          <w:i w:val="off"/>
        </w:rPr>
        <w:t>S1定义与意义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S1是标志性顶部K线，通常表现为长上影线（如【130】“再来根上影线”）、次高点放量（如【201】-【202】）、或单日巨量阴线（如【194】-【197】“标准的大哥结账”）。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8"/>
      <w:r>
        <w:rPr>
          <w:rFonts w:ascii="宋体" w:hAnsi="宋体" w:cs="宋体" w:eastAsia="宋体"/>
          <w:sz w:val="32"/>
          <w:spacing w:val="0"/>
          <w:b w:val="on"/>
          <w:i w:val="off"/>
        </w:rPr>
        <w:t>次高点放量出货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并非仅在绝对高点放量，而是在阶段性次高点连续放量（如【201】：“次高点的放量，又是个次高点的放量，又是个次高点的放量”），即为典型出货信号。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n"/>
          <w:i w:val="off"/>
        </w:rPr>
        <w:t>放量性质判定</w:t>
      </w:r>
      <w:bookmarkEnd w:id="101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高位异常放量（尤其阳量高于前期数倍）= 大哥出货（如【288】-【290】：“在这位置放量就一定是有人卖”）。</w:t>
      </w:r>
      <w:bookmarkEnd w:id="102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放量后必有缩量：放是为了缩，缩是为了再放；无缩量过程的放量不可信（如【302】-【304】）。</w:t>
      </w:r>
      <w:bookmarkEnd w:id="102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主力行为解码：颜值变现与大哥接盘 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3"/>
      <w:r>
        <w:rPr>
          <w:rFonts w:ascii="宋体" w:hAnsi="宋体" w:cs="宋体" w:eastAsia="宋体"/>
          <w:sz w:val="32"/>
          <w:spacing w:val="0"/>
          <w:b w:val="on"/>
          <w:i w:val="off"/>
        </w:rPr>
        <w:t>颜值变现模型</w:t>
      </w:r>
      <w:bookmarkEnd w:id="1023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>“颜值”指个股经整容（拉升）、美白（横盘蓄势）、拔牙（洗盘）后的完美形态。</w:t>
      </w:r>
      <w:bookmarkEnd w:id="1024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5"/>
      <w:r>
        <w:rPr>
          <w:rFonts w:ascii="宋体" w:hAnsi="宋体" w:cs="宋体" w:eastAsia="宋体"/>
          <w:sz w:val="32"/>
          <w:spacing w:val="0"/>
          <w:b w:val="off"/>
          <w:i w:val="off"/>
        </w:rPr>
        <w:t>“变现”即主力借S1等形态吸引新资金（“大哥”）接盘，实现利润兑现。</w:t>
      </w:r>
      <w:bookmarkEnd w:id="1025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无S1 = 无大哥接盘（如【130】：“没有S一就意味着没有大哥接盘”）。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27"/>
      <w:r>
        <w:rPr>
          <w:rFonts w:ascii="宋体" w:hAnsi="宋体" w:cs="宋体" w:eastAsia="宋体"/>
          <w:sz w:val="32"/>
          <w:spacing w:val="0"/>
          <w:b w:val="on"/>
          <w:i w:val="off"/>
        </w:rPr>
        <w:t>大哥类型对比</w:t>
      </w:r>
      <w:bookmarkEnd w:id="1027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>“铁蝴蝶”式：崩于无形，如王某某家大哥崩至80仍义无反顾（【136】-【137】）。</w:t>
      </w:r>
      <w:bookmarkEnd w:id="1028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>“装崩”式：跌跌撞撞刻意示弱，诱导散户恐慌离场（【142】-【143】）。</w:t>
      </w:r>
      <w:bookmarkEnd w:id="1029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0"/>
      <w:r>
        <w:rPr>
          <w:rFonts w:ascii="宋体" w:hAnsi="宋体" w:cs="宋体" w:eastAsia="宋体"/>
          <w:sz w:val="32"/>
          <w:spacing w:val="0"/>
          <w:b w:val="on"/>
          <w:i w:val="off"/>
        </w:rPr>
        <w:t>分期付款 vs 一次性买断</w:t>
      </w:r>
      <w:bookmarkEnd w:id="1030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>分期付款：主力分多次放量（如【110】“三次四次扬量”），逐步移交筹码。</w:t>
      </w:r>
      <w:bookmarkEnd w:id="103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2"/>
      <w:r>
        <w:rPr>
          <w:rFonts w:ascii="宋体" w:hAnsi="宋体" w:cs="宋体" w:eastAsia="宋体"/>
          <w:sz w:val="32"/>
          <w:spacing w:val="0"/>
          <w:b w:val="off"/>
          <w:i w:val="off"/>
        </w:rPr>
        <w:t>一次性买断：单日巨量出货（如【102】“标准的一个出货”），后续难有持续性。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33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板块轮动与龙头切换逻辑 </w:t>
      </w:r>
      <w:bookmarkEnd w:id="103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4"/>
      <w:r>
        <w:rPr>
          <w:rFonts w:ascii="宋体" w:hAnsi="宋体" w:cs="宋体" w:eastAsia="宋体"/>
          <w:sz w:val="32"/>
          <w:spacing w:val="0"/>
          <w:b w:val="on"/>
          <w:i w:val="off"/>
        </w:rPr>
        <w:t>板块未走完，个股轮动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同一板块内极少出现单一龙头从头涨到尾；更多是龙头轮动（如铜板块：江铜→北铜→云铜）（【72】-【77】）。</w:t>
      </w:r>
      <w:bookmarkEnd w:id="103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5"/>
      <w:r>
        <w:rPr>
          <w:rFonts w:ascii="宋体" w:hAnsi="宋体" w:cs="宋体" w:eastAsia="宋体"/>
          <w:sz w:val="32"/>
          <w:spacing w:val="0"/>
          <w:b w:val="on"/>
          <w:i w:val="off"/>
        </w:rPr>
        <w:t>轮动前提</w:t>
      </w:r>
      <w:bookmarkEnd w:id="103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>板块标的数量充足（非仅2-3只），否则轮动无法展开（【79】-【80】）。</w:t>
      </w:r>
      <w:bookmarkEnd w:id="1036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>当前龙头横盘或滞涨时，资金自然流向同板块其他低位启动标的（【73】-【75】）。</w:t>
      </w:r>
      <w:bookmarkEnd w:id="103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38"/>
      <w:r>
        <w:rPr>
          <w:rFonts w:ascii="宋体" w:hAnsi="宋体" w:cs="宋体" w:eastAsia="宋体"/>
          <w:sz w:val="32"/>
          <w:spacing w:val="0"/>
          <w:b w:val="on"/>
          <w:i w:val="off"/>
        </w:rPr>
        <w:t>案例印证</w:t>
      </w:r>
      <w:bookmarkEnd w:id="1038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39"/>
      <w:r>
        <w:rPr>
          <w:rFonts w:ascii="宋体" w:hAnsi="宋体" w:cs="宋体" w:eastAsia="宋体"/>
          <w:sz w:val="32"/>
          <w:spacing w:val="0"/>
          <w:b w:val="off"/>
          <w:i w:val="off"/>
        </w:rPr>
        <w:t>商业航天：第一波航天展启动→第二波乱七八糟→第三波扫尾（【279】-【285】）。</w:t>
      </w:r>
      <w:bookmarkEnd w:id="1039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白酒/煤炭/券商：因估值优势成为主力首选，属“去年看不上，今年新茶”（【449】-【452】）。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1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底部结构识别：筑底震荡与红长绿短 </w:t>
      </w:r>
      <w:bookmarkEnd w:id="1041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2"/>
      <w:r>
        <w:rPr>
          <w:rFonts w:ascii="宋体" w:hAnsi="宋体" w:cs="宋体" w:eastAsia="宋体"/>
          <w:sz w:val="32"/>
          <w:spacing w:val="0"/>
          <w:b w:val="on"/>
          <w:i w:val="off"/>
        </w:rPr>
        <w:t>筑底标志</w:t>
      </w:r>
      <w:bookmarkEnd w:id="1042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>股价创出新低后未破前低，反弹未破前高，形成区间震荡（【335】-【336】）。</w:t>
      </w:r>
      <w:bookmarkEnd w:id="104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>底部区域出现“红长绿短”突兀红色柱（【347】-【348】），区别于高位无此特征（【344】-【345】）。</w:t>
      </w:r>
      <w:bookmarkEnd w:id="104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5"/>
      <w:r>
        <w:rPr>
          <w:rFonts w:ascii="宋体" w:hAnsi="宋体" w:cs="宋体" w:eastAsia="宋体"/>
          <w:sz w:val="32"/>
          <w:spacing w:val="0"/>
          <w:b w:val="on"/>
          <w:i w:val="off"/>
        </w:rPr>
        <w:t>下降通道破局</w:t>
      </w:r>
      <w:bookmarkEnd w:id="1045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>突破下降通道需伴随显著量能（【328】-【331】），否则仅为假突破。</w:t>
      </w:r>
      <w:bookmarkEnd w:id="104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>若破黄线则趋势逆转确认（【259】：“黄线不能破”），反之守住黄线即结构健康（【311】-【312】）。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2"/>
        </w:rPr>
      </w:pPr>
      <w:bookmarkStart w:name="" w:id="1048"/>
      <w:r>
        <w:rPr>
          <w:rFonts w:ascii="宋体" w:hAnsi="宋体" w:cs="宋体" w:eastAsia="宋体"/>
          <w:sz w:val="32"/>
          <w:spacing w:val="0"/>
          <w:b w:val="on"/>
          <w:i w:val="off"/>
        </w:rPr>
        <w:t xml:space="preserve">实战操作纪律：忍一根与账户管理 </w:t>
      </w:r>
      <w:bookmarkEnd w:id="104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49"/>
      <w:r>
        <w:rPr>
          <w:rFonts w:ascii="宋体" w:hAnsi="宋体" w:cs="宋体" w:eastAsia="宋体"/>
          <w:sz w:val="32"/>
          <w:spacing w:val="0"/>
          <w:b w:val="on"/>
          <w:i w:val="off"/>
        </w:rPr>
        <w:t>“忍一根”原则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面对回调需理性评估：若连续4-5日下跌但指标未破关键位（如钩值仍在57），则属线上调整，无需恐慌（【175】-【176】）。</w:t>
      </w:r>
      <w:bookmarkEnd w:id="104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0"/>
      <w:r>
        <w:rPr>
          <w:rFonts w:ascii="宋体" w:hAnsi="宋体" w:cs="宋体" w:eastAsia="宋体"/>
          <w:sz w:val="32"/>
          <w:spacing w:val="0"/>
          <w:b w:val="on"/>
          <w:i w:val="off"/>
        </w:rPr>
        <w:t>账户风控</w:t>
      </w:r>
      <w:bookmarkEnd w:id="105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>若因短期回调极度沮丧，说明持仓与认知不匹配，应缩减账户一半（【262】）。</w:t>
      </w:r>
      <w:bookmarkEnd w:id="105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32"/>
        </w:rPr>
      </w:pPr>
      <w:bookmarkStart w:name="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>持续不适则再减半，直至情绪稳定、策略自洽（【263】-【264】）。</w:t>
      </w:r>
      <w:bookmarkEnd w:id="105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32"/>
        </w:rPr>
      </w:pPr>
      <w:bookmarkStart w:name="" w:id="1053"/>
      <w:r>
        <w:rPr>
          <w:rFonts w:ascii="宋体" w:hAnsi="宋体" w:cs="宋体" w:eastAsia="宋体"/>
          <w:sz w:val="32"/>
          <w:spacing w:val="0"/>
          <w:b w:val="on"/>
          <w:i w:val="off"/>
        </w:rPr>
        <w:t>关键止损位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
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黄线为生命线：跌破黄线即离场（【259】、【312】）；白线为压力位，破白线后回踩不破可加仓（【154】-【156】）。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both"/>
        <w:textAlignment w:val="auto"/>
        <w:rPr>
          <w:sz w:val="32"/>
        </w:rPr>
      </w:pPr>
      <w:bookmarkStart w:name="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>（内容由AI生成）</w:t>
      </w:r>
      <w:bookmarkEnd w:id="1054"/>
    </w:p>
    <w:sectPr>
      <w:footerReference r:id="rId5"/>
      <w:headerReference r:id="rId6" w:type="default"/>
      <w:pgSz w:w="15500" w:h="1972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media/image1.jpeg" Type="http://schemas.openxmlformats.org/officeDocument/2006/relationships/image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2026-02-01T23:23:44Z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U5vhIm5txpsNmf3iQ4z/2nBEDq3ORFuwkBPDf4NM41k=","ProduceID":"quark_quick_note:521ef47f0d34aa0dab5ad68dfb27f4cc","ReservedCode2":"U5vhIm5txpsNmf3iQ4z/2nBEDq3ORFuwkBPDf4NM41k=","PropagateID":"quark_quick_note:521ef47f0d34aa0dab5ad68dfb27f4cc","ContentProducer":"001191440101MA9Y9T4H7A00000"}</vt:lpwstr>
  </property>
</Properties>
</file>