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01"/>
      <w:r>
        <w:rPr>
          <w:rFonts w:ascii="宋体" w:hAnsi="宋体" w:cs="宋体" w:eastAsia="宋体"/>
          <w:sz w:val="32"/>
          <w:spacing w:val="0"/>
          <w:b w:val="off"/>
          <w:i w:val="off"/>
        </w:rPr>
        <w:t>本视频讲述了股票交易中关于个股走势判断、板块轮动逻辑、技术指标（如黄线、MACD）应用及交易策略（如“少妇战法”、放量大阴线买入法）的实盘分析与经验分享，强调在震荡行情中控制仓位、识别确定性区间、警惕技术背离，并指出牛市中核心标的的历史表现与信仰属性。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7556500" cy="53721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03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个股走势与交易策略分析 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4"/>
      <w:r>
        <w:rPr>
          <w:rFonts w:ascii="宋体" w:hAnsi="宋体" w:cs="宋体" w:eastAsia="宋体"/>
          <w:sz w:val="32"/>
          <w:spacing w:val="0"/>
          <w:b w:val="on"/>
          <w:i w:val="off"/>
        </w:rPr>
        <w:t>震荡市交易原则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对于结构混乱、走势别扭的个股（如“巴基”），应放弃趋势幻想，转为短线交易：以标志性启动位置为起点，至前高或机构阻力位即卖出。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5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小特案例解析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小特低位启动，属板块轮动中的后排转前排梯队；9月23日启动时特变已从11.16元涨至16元，体现板块内轮动规律；该位置放量后主力接回，未现断气式下跌，结构健康。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6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量价关系判据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正常量价关系下，放量上涨或缩量回调均属健康；若放量杀跌并跌破黄线，则需立即离场。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7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黄白线公式说明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黄白线动态计算公式位于10月2日动态下方，用于判定短期强弱分界。</w:t>
      </w:r>
      <w:bookmarkEnd w:id="10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08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板块轮动与龙头逻辑 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9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轮动梯队特征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板块内存在明确梯队：小特属于后排启动，通过“后排转前排”完成补涨，其启动即预示板块热度扩散。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0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历史验证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该位置连续布局者当日获利达17%，后续波段涨幅超20%，证明低位启动信号有效性。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1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出货与否判断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当前未完成出货，可能为第三波或第四波主升，需结合后续量能确认。</w:t>
      </w:r>
      <w:bookmarkEnd w:id="101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12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技术图形与关键位置研判 </w:t>
      </w:r>
      <w:bookmarkEnd w:id="1012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3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老许图形分析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图形无显著问题，无需重复画线；若存疑则需直面风险——“全死”或坚守“少妇战法”（两根K线即卖）。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4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医美类个股比喻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以“隆胸、正畸、热玛吉、玻尿酸”类比个股反复修整，说明当前处于筹码沉淀期，跌破黄线即止损。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5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缩量拉升风险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连续缩量拉升至高位，成交量达阶段峰值，意味着主力出货窗口开启，须同步减仓。</w:t>
      </w:r>
      <w:bookmarkEnd w:id="10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16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大盘历史与牛市逻辑 </w:t>
      </w:r>
      <w:bookmarkEnd w:id="101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7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A股牛市复盘 </w:t>
      </w:r>
      <w:bookmarkEnd w:id="1017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8"/>
      <w:r>
        <w:rPr>
          <w:rFonts w:ascii="宋体" w:hAnsi="宋体" w:cs="宋体" w:eastAsia="宋体"/>
          <w:sz w:val="32"/>
          <w:spacing w:val="0"/>
          <w:b w:val="off"/>
          <w:i w:val="off"/>
        </w:rPr>
        <w:t>2005–2007年大牛市：8.58元→149元（翻16倍）；</w:t>
      </w:r>
      <w:bookmarkEnd w:id="1018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9"/>
      <w:r>
        <w:rPr>
          <w:rFonts w:ascii="宋体" w:hAnsi="宋体" w:cs="宋体" w:eastAsia="宋体"/>
          <w:sz w:val="32"/>
          <w:spacing w:val="0"/>
          <w:b w:val="off"/>
          <w:i w:val="off"/>
        </w:rPr>
        <w:t>2008–2010年4万亿刺激：1664点→3478点，个股44元→307元；</w:t>
      </w:r>
      <w:bookmarkEnd w:id="1019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0"/>
      <w:r>
        <w:rPr>
          <w:rFonts w:ascii="宋体" w:hAnsi="宋体" w:cs="宋体" w:eastAsia="宋体"/>
          <w:sz w:val="32"/>
          <w:spacing w:val="0"/>
          <w:b w:val="off"/>
          <w:i w:val="off"/>
        </w:rPr>
        <w:t>2014–2015年杠杆牛：126点→2357点，个股471元→2600元；</w:t>
      </w:r>
      <w:bookmarkEnd w:id="1020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1"/>
      <w:r>
        <w:rPr>
          <w:rFonts w:ascii="宋体" w:hAnsi="宋体" w:cs="宋体" w:eastAsia="宋体"/>
          <w:sz w:val="32"/>
          <w:spacing w:val="0"/>
          <w:b w:val="off"/>
          <w:i w:val="off"/>
        </w:rPr>
        <w:t>2019年券商牛：1000点→2400点；</w:t>
      </w:r>
      <w:bookmarkEnd w:id="1021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2"/>
      <w:r>
        <w:rPr>
          <w:rFonts w:ascii="宋体" w:hAnsi="宋体" w:cs="宋体" w:eastAsia="宋体"/>
          <w:sz w:val="32"/>
          <w:spacing w:val="0"/>
          <w:b w:val="off"/>
          <w:i w:val="off"/>
        </w:rPr>
        <w:t>2023年924行情：651点→1495点（慢牛未加速）。</w:t>
      </w:r>
      <w:bookmarkEnd w:id="102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3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麒麟会底仓逻辑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历史表明其从不踏空任何牛市，当前2350点或为相对底部，低点未破且创出新高，属强势筑底。</w:t>
      </w:r>
      <w:bookmarkEnd w:id="102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24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核心标的信仰属性 </w:t>
      </w:r>
      <w:bookmarkEnd w:id="1024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5"/>
      <w:r>
        <w:rPr>
          <w:rFonts w:ascii="宋体" w:hAnsi="宋体" w:cs="宋体" w:eastAsia="宋体"/>
          <w:sz w:val="32"/>
          <w:spacing w:val="0"/>
          <w:b w:val="on"/>
          <w:i w:val="off"/>
        </w:rPr>
        <w:t>驱动逻辑演进</w:t>
      </w:r>
      <w:bookmarkEnd w:id="1025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6"/>
      <w:r>
        <w:rPr>
          <w:rFonts w:ascii="宋体" w:hAnsi="宋体" w:cs="宋体" w:eastAsia="宋体"/>
          <w:sz w:val="32"/>
          <w:spacing w:val="0"/>
          <w:b w:val="off"/>
          <w:i w:val="off"/>
        </w:rPr>
        <w:t>2005–2007年：公募基金交易软件（通达信级地位）；</w:t>
      </w:r>
      <w:bookmarkEnd w:id="1026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7"/>
      <w:r>
        <w:rPr>
          <w:rFonts w:ascii="宋体" w:hAnsi="宋体" w:cs="宋体" w:eastAsia="宋体"/>
          <w:sz w:val="32"/>
          <w:spacing w:val="0"/>
          <w:b w:val="off"/>
          <w:i w:val="off"/>
        </w:rPr>
        <w:t>2008–2010年：4万亿普涨；</w:t>
      </w:r>
      <w:bookmarkEnd w:id="1027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8"/>
      <w:r>
        <w:rPr>
          <w:rFonts w:ascii="宋体" w:hAnsi="宋体" w:cs="宋体" w:eastAsia="宋体"/>
          <w:sz w:val="32"/>
          <w:spacing w:val="0"/>
          <w:b w:val="off"/>
          <w:i w:val="off"/>
        </w:rPr>
        <w:t>2014–2015年：伞型配资工具（融资杠杆作案工具）；</w:t>
      </w:r>
      <w:bookmarkEnd w:id="1028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9"/>
      <w:r>
        <w:rPr>
          <w:rFonts w:ascii="宋体" w:hAnsi="宋体" w:cs="宋体" w:eastAsia="宋体"/>
          <w:sz w:val="32"/>
          <w:spacing w:val="0"/>
          <w:b w:val="off"/>
          <w:i w:val="off"/>
        </w:rPr>
        <w:t>后续：金融安全+AI+科技兴国三重加持。</w:t>
      </w:r>
      <w:bookmarkEnd w:id="102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30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市值与流动性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当前588亿市值，属中盘蓝筹，流动性充足；924行情单边拉升1.5倍（648→1518），验证其“大盘动则此票必动”特性。</w:t>
      </w:r>
      <w:bookmarkEnd w:id="103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31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信仰票操作法则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不看基本面、不依赖图形，仅作为非银金融板块平均涨幅的底仓配置；买入信号为下跌中“放量大阴线”（量超前阳），锁仓待板块共振。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32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行情节奏与时间节点 </w:t>
      </w:r>
      <w:bookmarkEnd w:id="1032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33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春节前策略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至少未来一周无显著机会，重点防范技术性调整：MACD零轴上二次金叉或为最后一波，三月中旬年报季前资金需兑现收益。</w:t>
      </w:r>
      <w:bookmarkEnd w:id="1033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34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技术调整本质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非真正下跌，而是区间内筹码交换（中继），目标为消化浮筹、切换持仓结构。</w:t>
      </w:r>
      <w:bookmarkEnd w:id="1034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35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红包行情预期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红包必于最意外时发放，春节前第二波启动概率低，需降低预期；若消费数据超预期（旅游、餐饮爆火），节后二次启动确定性高。</w:t>
      </w:r>
      <w:bookmarkEnd w:id="103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36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交易哲学与风格分化 </w:t>
      </w:r>
      <w:bookmarkEnd w:id="1036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37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少妇派 vs 大钱派 </w:t>
      </w:r>
      <w:bookmarkEnd w:id="1037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8"/>
      <w:r>
        <w:rPr>
          <w:rFonts w:ascii="宋体" w:hAnsi="宋体" w:cs="宋体" w:eastAsia="宋体"/>
          <w:sz w:val="32"/>
          <w:spacing w:val="0"/>
          <w:b w:val="off"/>
          <w:i w:val="off"/>
        </w:rPr>
        <w:t>少妇派：B1/B2波段操作，单票盈利10%–20%即止盈，视股票为差价工具；</w:t>
      </w:r>
      <w:bookmarkEnd w:id="1038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9"/>
      <w:r>
        <w:rPr>
          <w:rFonts w:ascii="宋体" w:hAnsi="宋体" w:cs="宋体" w:eastAsia="宋体"/>
          <w:sz w:val="32"/>
          <w:spacing w:val="0"/>
          <w:b w:val="off"/>
          <w:i w:val="off"/>
        </w:rPr>
        <w:t>大钱派：长期持有核心标的，博弈板块主升浪。</w:t>
      </w:r>
      <w:bookmarkEnd w:id="1039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40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王树风控模型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典型风险厌恶者：仓位极轻、波动率极低（日赚/亏0.3%）、拒绝布林带等复杂指标，专注中枢震荡交易；其产品稳定性源于极致风控，非追求爆发力。</w:t>
      </w:r>
      <w:bookmarkEnd w:id="104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41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少妇战法实践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满仓者易陷被动，建议采用“少妇战法”：轻仓试错、快进快出，月入5000–8000元堪比兼职，契合散户生存逻辑。</w:t>
      </w:r>
      <w:bookmarkEnd w:id="104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42"/>
      <w:r>
        <w:rPr>
          <w:rFonts w:ascii="宋体" w:hAnsi="宋体" w:cs="宋体" w:eastAsia="宋体"/>
          <w:sz w:val="32"/>
          <w:spacing w:val="0"/>
          <w:b w:val="off"/>
          <w:i w:val="off"/>
        </w:rPr>
        <w:t>（内容由AI生成）</w:t>
      </w:r>
      <w:bookmarkEnd w:id="1042"/>
    </w:p>
    <w:sectPr>
      <w:footerReference r:id="rId5"/>
      <w:headerReference r:id="rId6" w:type="default"/>
      <w:pgSz w:w="15500" w:h="1972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media/image1.jpeg" Type="http://schemas.openxmlformats.org/officeDocument/2006/relationships/image"/><Relationship Id="rId5" Target="footer1.xml" Type="http://schemas.openxmlformats.org/officeDocument/2006/relationships/footer"/><Relationship Id="rId6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2026-02-01T23:23:51Z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yr5ddqHiPFoY59CDwlCF+gOIvtGjw4NUf7bjXWvfuQ4=","ProduceID":"quark_quick_note:6b996705c3c460059449c949c5292ef7","ReservedCode2":"yr5ddqHiPFoY59CDwlCF+gOIvtGjw4NUf7bjXWvfuQ4=","PropagateID":"quark_quick_note:6b996705c3c460059449c949c5292ef7","ContentProducer":"001191440101MA9Y9T4H7A00000"}</vt:lpwstr>
  </property>
</Properties>
</file>