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7ff4f77ee29f451eb27ac45b02051bb4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交易中“敌进我退、敌退我追”的空头思维战法，强调顺应市场重力规律，在下跌趋势中主动做空追击、上涨时谨慎加仓，并系统讲解了左侧低估、超跌反弹、多头控盘三种波段策略及周线/日线技术信号（如白线之上、N型结构、B1信号）的实战应用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47498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83be0c584e748179e412bbdccadbeb3" w:id="100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核心战法：敌进我退、敌退我追 </w:t>
      </w:r>
      <w:bookmarkEnd w:id="100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3009188-af64-4e85-bd9a-197803cc88f5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重力原理与操作逻辑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市场上涨需克服重力（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G=mg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），向下运动天然简单；在对手盘最困难（重力压制）时做空，比在其自由落体后强行托举更有效。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9ccd183-e588-41f2-a789-15c3fcbf40a5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敌进我退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多头拉升时坚决砸盘，不逆势加仓；若股价持续上涨，加仓行为可能错误。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4df2e6e-c134-4eb2-93f8-aa037ea65509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敌退我追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多头拉不动、出现退缩（如连续阴线、放量滞涨、跌破关键均线）时，空头主动追击，低位承接带血筹码。</w:t>
      </w:r>
      <w:bookmarkEnd w:id="100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07d7cd883c1345a49646f77a2258926c" w:id="100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关键概念深化：穷寇莫追与卡节奏 </w:t>
      </w:r>
      <w:bookmarkEnd w:id="1007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d1c1232-21b8-4a65-aed2-2eef713147b3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穷寇莫追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追击需有度：当空头已连续两次成功打压且对手止损离场（如“维儿刘缺”式放行），应停止追击，避免陷入无序巷战；核心是“掐头去尾”，只抓上下两个关键位置。</w:t>
      </w:r>
      <w:bookmarkEnd w:id="1008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90ddb56-1ea1-45a0-bc40-378a27146a5f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卡节奏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主动将自身定位为空头角色，使市场波动符合己方预期（如“涨就卖、跌就买”），从而消除主观痛苦；转换角色后，抱怨消失，操作变为“高位筹码换钱、低位钱换筹码”。</w:t>
      </w:r>
      <w:bookmarkEnd w:id="100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d84a6df3c0c5447b8ae4f1a504054fb6" w:id="101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三种波段策略详解 </w:t>
      </w:r>
      <w:bookmarkEnd w:id="1010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48497a7-a0fd-4488-9247-b4f2c2e4ff55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左侧低估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适用于大周期空头排列末期（所有均线向下发散），如阿敏从2元跌至1.2元、万科从36元跌至5元；需年为单位持有，确定性高但考验耐心与资金实力。</w:t>
      </w:r>
      <w:bookmarkEnd w:id="1011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f08a75b-e8b2-4a5e-9e73-77a071e7bb52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超跌反弹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出现在横盘震荡阶段，如万华化学、万泽股份在空头趋势中阶段性反抽；成功率低、难精准择时，仅适合快进快出或作为辅助策略。</w:t>
      </w:r>
      <w:bookmarkEnd w:id="1012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85d8b18-9992-49d8-ba68-4b158f611842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多头控盘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最优策略：聚焦周线/日线级别均线向上发散、股价运行于白线（如60日均线）之上的标的，形成N型上涨结构；此时B1信号（单针探底）胜率极高，配合止损可实现稳定盈利。</w:t>
      </w:r>
      <w:bookmarkEnd w:id="101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25cc2959b19644c88e2ff794e5cf30bb" w:id="101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技术信号识别与执行 </w:t>
      </w:r>
      <w:bookmarkEnd w:id="1014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e67e525-2cbf-4247-93f3-65dfc6ffaf33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周线级别筛选标准</w:t>
      </w:r>
      <w:bookmarkEnd w:id="1015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f48e09f-78c0-4178-b781-5d4e67ff096f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白线（60日均线）与黄线（120日均线）均向上发散；</w:t>
      </w:r>
      <w:bookmarkEnd w:id="1016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042050f-735f-41f4-ad82-d3b3bbb7141c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股价始终位于白线之上，构成“强者恒强”结构；</w:t>
      </w:r>
      <w:bookmarkEnd w:id="1017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c27a9c3-c81d-4117-b54a-eac31a5596c6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回调不破白线即为技术性修正，可寻B1介入。</w:t>
      </w:r>
      <w:bookmarkEnd w:id="1018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0045ac8-65e1-4e56-9e72-88cc693114af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日线级别操作要点</w:t>
      </w:r>
      <w:bookmarkEnd w:id="1019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728e99f-4b29-48d2-acbb-abdc3a8d98f3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在周线多头背景下，日线出现单针下影线（B1）且缩量企稳；</w:t>
      </w:r>
      <w:bookmarkEnd w:id="1020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32d3f70-195a-4d48-9d79-55b2df1441e4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止损设于关键支撑位（如5%或10%幅度，或白线下方）；</w:t>
      </w:r>
      <w:bookmarkEnd w:id="1021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3443ea7-7d89-4f38-9090-5a5100cffd51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案例：亨通光电、国轩高科在周线白线上回调B1后启动主升浪。</w:t>
      </w:r>
      <w:bookmarkEnd w:id="102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a807ab418bf4aa9b7a1b505d97acdb0" w:id="102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主力博弈与心态管理 </w:t>
      </w:r>
      <w:bookmarkEnd w:id="1023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cc8e69a-e700-4bc1-9f76-d747310e7e8b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主力洗盘本质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震荡、无序波动均为清除对手盘（尤其是“恋爱脑”式死拿多头），最终服务于多头有序上涨；空头需成为主力“难受的对手”，而非“家人”。</w:t>
      </w:r>
      <w:bookmarkEnd w:id="1024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ba9184d-63a8-4a65-8476-24ce0c23c694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仓位与择时关系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择时属于仓位管理维度（决定开仓比例），非选股维度；牛票即使短期被砸至低位，只要周线趋势未破，仍具高盈亏比。</w:t>
      </w:r>
      <w:bookmarkEnd w:id="102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344dfacf59fa45b9a01c8164e2864c53" w:id="102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宏观信心与底层逻辑 </w:t>
      </w:r>
      <w:bookmarkEnd w:id="1026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e79df39-7055-4488-b653-5d8c3edf441d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国运驱动逻辑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当前中国经济处于“财政+股权”绑定的大周期起点，制造业升级与金融深化双轮驱动；A股尚未真正启动，仅两三亿人富起，十亿人潜力待释放。</w:t>
      </w:r>
      <w:bookmarkEnd w:id="1027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88a9c5d-172e-4e0a-918d-b28749183051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政策与市场验证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海南自贸港、反内卷政策等均指向长期结构性机会；港股高位、美股依赖科技金融的脆弱性，反衬中国“君无戏言”式战略定力。</w:t>
      </w:r>
      <w:bookmarkEnd w:id="102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55a945746e98430290bc9df2cfbc895d" w:id="1029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29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2026-02-20T02:10:11Z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UVBnbxQpuXywbN6CwjS7TtDVR9+9cJCljXhIFOk00fY=","ProduceID":"ai_zongjie:3215db2ef752b2441b7b7cde38b862be","ReservedCode2":"UVBnbxQpuXywbN6CwjS7TtDVR9+9cJCljXhIFOk00fY=","PropagateID":"ai_zongjie:3215db2ef752b2441b7b7cde38b862be","ContentProducer":"001191440101MA9Y9T4H7A00000"}</vt:lpwstr>
  </property>
</Properties>
</file>