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02d93cd65b14c7c8d5c6dc7ffff02d1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基于周线与日线多周期均线系统（白线/黄线/绿线/粉线）的股票交易策略，核心是“看长做短”：以周线判断大趋势及入场时机（B1买点），以日线执行买卖操作与动态止损；强调多头排列的确定性、北伐-扭扭-放飞的结构演化、敌进我退/敌退我追的操作心法，并指出图形领先于消息、避免放量阴线等关键纪律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13208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0adbd8725c74a8fbe861589423239e5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核心策略框架：看长做短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76054e-84a0-4c30-8511-a11fc04ad94a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周线级别定方向与入场</w:t>
      </w:r>
      <w:bookmarkEnd w:id="1004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7c83b24-d4bd-4e98-a9a9-86fc662618e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周线为“长”，决定趋势性质与主要买点（B1），需满足多头排列或北伐结构。</w:t>
      </w:r>
      <w:bookmarkEnd w:id="1005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09186a2-4bbf-443a-9883-72d8a9323b07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入场方式：等待周线回调形成B1（回档买点），或在周线白线之上确认N型上涨结构后介入。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f8e15b9-e376-459b-a73c-c320b957bc94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日线级别执行买卖与止损</w:t>
      </w:r>
      <w:bookmarkEnd w:id="1007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ac73d2-435e-4dee-8f1b-f7d8468c8ace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日线为“短”，用于具体买卖点位选择与动态止盈止损。</w:t>
      </w:r>
      <w:bookmarkEnd w:id="1008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72125b0-077c-44ca-bac6-c6be2bd5654f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止损设置：若按周线B1入场，则在周线关键均线（如白线、黄线）下方设止损；若按日线B1入场，则在日线对应位置设止损。</w:t>
      </w:r>
      <w:bookmarkEnd w:id="1009"/>
    </w:p>
    <w:p>
      <w:pPr>
        <w:pStyle w:val="一级无序列表"/>
        <w:pageBreakBefore w:val="off"/>
        <w:numPr>
          <w:ilvl w:val="1"/>
          <w:numId w:val="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19a168e-a878-4d52-aacb-82e200f9eae0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关键原则：“看大做小，买在小里，止损在大里”，即大周期定方向，小周期择时，止损依据大周期支撑。</w:t>
      </w:r>
      <w:bookmarkEnd w:id="101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0c7f0f05f5f468b8b5a25346d8711b8" w:id="101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多周期均线系统与结构语言 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5f1e15d-035f-481a-82bf-ab2f0d20e720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均线角色定义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0bab9e8-4512-45c8-bb0e-250805af84c1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白线（长期主力资金）、黄线（中期资金）、绿线（短期资金）、粉线（超短期抄底资金）。</w:t>
      </w:r>
      <w:bookmarkEnd w:id="1013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4fb51f-73f9-43bc-9536-15e3df62c07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多头排列含义：各周期资金态度一致向上，盘面筹码锁定，趋势确定性强。</w:t>
      </w:r>
      <w:bookmarkEnd w:id="1014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a9d43e-39eb-4b05-8ad6-a52407122483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核心结构术语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5368685-a537-419f-a165-ba8056b9c7a9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北伐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：首次强势突破，标志建仓启动或超跌反弹开端，常伴随跳空阳线。</w:t>
      </w:r>
      <w:bookmarkEnd w:id="101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58a0b98-e3e3-4c13-b354-d9aee8d9e795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扭扭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：均线由空转多过程中的反复缠绕整理，体现资金逐步形成合力，是趋势确立前必经阶段。</w:t>
      </w:r>
      <w:bookmarkEnd w:id="101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19441f7-a970-4271-9db3-8f7469d9f894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N型上涨结构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：周线级别典型的上涨形态，由“北伐—回踩—再北伐—再回踩”构成，每次回踩低点抬高。</w:t>
      </w:r>
      <w:bookmarkEnd w:id="101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741da16-ba73-4104-95a5-8030b2e9ac3c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B1（Buy Point 1）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：首次有效回调买点，在周线或日线级别出现，是策略核心入场信号。</w:t>
      </w:r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9d5e14af22a4dfdb48e1b7208701f08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买卖执行心法：敌进我退，敌退我追 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1e2a4b0-9f45-467e-b177-7be677c1a4cc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放飞（卖出）逻辑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301ca6a-b8bc-4a81-8554-07b43f118792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见顶信号在日线级别显现（S1），而非等待周线大阴线。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68cee9-4df9-4e3d-9432-7acbec7ad1d0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S1非被动承受，而是主动“砸出”：在股价每日攻击6%–8%时提前分批卖出，而非等待长上影大风车形态出现。</w:t>
      </w:r>
      <w:bookmarkEnd w:id="102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8d7e7b-6999-4146-b153-7a969bc45633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核心认知：S1是主力实力耗尽的表现，是资金博弈结果，非技术指标被动触发。</w:t>
      </w:r>
      <w:bookmarkEnd w:id="102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9197b1b-0f5d-4a31-927c-f44720ff70a4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买入与持有逻辑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c210f27-415d-431c-86ba-72961f6b7682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“敌退我追”：回调时敢于加仓，尤其在周线多头未破、日线B1共振处。</w:t>
      </w:r>
      <w:bookmarkEnd w:id="1026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13e119b-d8dc-4399-8de9-f74fbd82d8a8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“咬定青山不放松”：趋势未变（均线未破、结构未坏）则坚定持有，容忍正常波动。</w:t>
      </w:r>
      <w:bookmarkEnd w:id="102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874642e-1251-4943-b5f3-943859d2d57a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案例佐证：中国铝业持续多头排列；国阳新能源北伐成功并站稳；航天发展早于商业航天概念走出五连板。</w:t>
      </w:r>
      <w:bookmarkEnd w:id="102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7b087c56ccc45a1bc1c3a1411de4de0" w:id="102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关键纪律与风险控制 </w:t>
      </w:r>
      <w:bookmarkEnd w:id="1029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bc0f84-82ba-43ab-bc81-264286d8972c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放量阴线铁律</w:t>
      </w:r>
      <w:bookmarkEnd w:id="103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6c046a0-2c4c-4080-a6b4-bbd126706bff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凡出现放量阴线，无论持仓周期长短，必须第一时间卖出，不纠结、不恋战。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978015c-47f9-42f3-b0ff-e8ae7e04bc7b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理由：放量阴线代表主导资金真实出货，一次失误可能导致整轮牛市收益归零。</w:t>
      </w:r>
      <w:bookmarkEnd w:id="103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5ebb198-133f-46d2-9e64-f8b53b428d22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周期混淆禁忌</w:t>
      </w:r>
      <w:bookmarkEnd w:id="103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84dcbb-e1fe-4709-b3ff-a2f8d1c5c3dd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严禁将周线策略与日线波动混为一谈：周线买入者不可因日线小幅回调恐慌卖出；日线买入者须严格按日线规则止损。</w:t>
      </w:r>
      <w:bookmarkEnd w:id="103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a908f77-e720-4be7-af16-98cecd986474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错误示例：在周线B1买入后，因日线单日波动即动摇；或在无周线支撑时强行右侧追高。</w:t>
      </w:r>
      <w:bookmarkEnd w:id="103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41a984e-99e7-4ccb-ac7b-288507ea20d2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选股底层逻辑</w:t>
      </w:r>
      <w:bookmarkEnd w:id="1036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569630f-d88c-4383-b3e0-aa1c112a9f0b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周线选股不看板块与概念，只看图形趋势是否成立。</w:t>
      </w:r>
      <w:bookmarkEnd w:id="1037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77b73bb-ee1b-4689-8603-ddd4b7068197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所有故事、消息、行业热点均滞后于大资金画出的周线趋势，即“图形永远走在消息之前”。</w:t>
      </w:r>
      <w:bookmarkEnd w:id="103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cbb7d0105d140d9978af3b6c900874e" w:id="103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实操案例解析与验证 </w:t>
      </w:r>
      <w:bookmarkEnd w:id="103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d7a773e-8b20-4e69-994d-aff0de4b94de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成功案例特征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91ef65-58eb-443e-a0c6-38e35cba033c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长飞光纤：双线（白线/黄线）稳定多头，任何回调均设止损再进，最终实现波段上涨。</w:t>
      </w:r>
      <w:bookmarkEnd w:id="104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785b822-50cd-4cc4-b80b-a7d9cb3400ef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中钨高新、特变电工：全程多头不回调，五周线/十周线沿时间轴稳步上行。</w:t>
      </w:r>
      <w:bookmarkEnd w:id="1042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049b9b3-8d8f-486c-ab1a-006ef6b7716e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五洲新春：S1洗盘后迅速反转，印证“装模作样”式假摔本质。</w:t>
      </w:r>
      <w:bookmarkEnd w:id="104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bd86c63-e8e2-4b33-a1fe-9d9bfd048a9d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失败案例警示</w:t>
      </w:r>
      <w:bookmarkEnd w:id="1044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7d3025-23b4-4627-be0b-ba2b472b3153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白酒板块：多次北伐失败，均线始终未真正扭成多头，趋势未确立。</w:t>
      </w:r>
      <w:bookmarkEnd w:id="1045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dfa0fe1-beb2-4763-8844-88b5337c4ee5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潞安环能：北伐失败后压制明显，无法成为龙头。</w:t>
      </w:r>
      <w:bookmarkEnd w:id="1046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b813828-a459-416f-8682-539b006037bc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王府井：北伐始终起不来，应果断放弃。</w:t>
      </w:r>
      <w:bookmarkEnd w:id="104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bb1f14c-b4de-4470-951f-e885d65d1dfa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作业与复盘要求</w:t>
      </w:r>
      <w:bookmarkEnd w:id="1048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274564-1c7b-422c-96b2-c7fe422d2c1d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直播内容需回看十遍，强化对“北伐—扭扭—放飞”结构及均线角色的理解。</w:t>
      </w:r>
      <w:bookmarkEnd w:id="104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00585eb-b31f-4eca-a4ef-24b603c2f562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每日三问自检：①当前操作属波段还是超短线？②属于左侧布局还是右侧跟随？③是否出现放量阴线？</w:t>
      </w:r>
      <w:bookmarkEnd w:id="105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0e201f9313c749d982e0b40c2cc51188" w:id="105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5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2026-02-20T02:10:05Z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H6wIEiFsXAxlbXOx/Ym4BUsLhUGMMIy9MKVGS4Of3UU=","ProduceID":"ai_zongjie:ac1d61948c17c10f86b4a653b94a253c","ReservedCode2":"H6wIEiFsXAxlbXOx/Ym4BUsLhUGMMIy9MKVGS4Of3UU=","PropagateID":"ai_zongjie:ac1d61948c17c10f86b4a653b94a253c","ContentProducer":"001191440101MA9Y9T4H7A00000"}</vt:lpwstr>
  </property>
</Properties>
</file>