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c28d3bfaeb1c483e931fa8f33124fbf3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2026年中国A股市场处于空头趋势下的交易策略与心态管理，强调“把钱揣兜里”为核心宗旨，系统解析了波段操作（白线牵牛、破黄线即走）、右侧交易纪律、主力筹码识别（高位横盘vs连续下跌）、板块轮动逻辑（新能源电力替代石油）及对两会行情的理性否定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46863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64d78ae-31a9-417d-b4f6-5e9b34582a7e" w:id="100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市场整体判断与年度基调 </w:t>
      </w:r>
      <w:bookmarkEnd w:id="100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aed6231-5681-490c-9a0f-8df8c15656f3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主线缺失与结构性行情确认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开年即无主线，除有色小金属及中石油级别极端行情外，全市场缺乏持续性机会。</w:t>
      </w:r>
      <w:bookmarkEnd w:id="100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99cc974-b089-40b4-a895-10c9b08aeeea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2026年核心定性为“难”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2026年是持续性吓唬行情，区别于2025年短暂回调后快速修复；2026年本质是过渡期，赚钱效应弱，但为2027年超额收益蓄力。</w:t>
      </w:r>
      <w:bookmarkEnd w:id="100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3fc73cb-4f5f-4a2c-83d9-0d0397c25ffd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新手入场管控逻辑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当前位置主动抑制新手进入，因其资产绑定建仓模式与当前高波动、低容错环境严重不匹配，体验必然恶化。</w:t>
      </w:r>
      <w:bookmarkEnd w:id="1006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e79a39e-9134-4f0c-87c9-ce2320bdbb60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AIGC板块已充分演绎完毕 </w:t>
      </w:r>
      <w:bookmarkEnd w:id="100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4e7ba65-1904-4101-8f4b-d8e0a7a6dbc3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时间节点确认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AIGC行情已于一月份完成主升，属历史阶段终结。</w:t>
      </w:r>
      <w:bookmarkEnd w:id="100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7ea6ab2-9b71-425a-bf94-e53ada96f94e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标的涨幅实证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九安医疗（九七）单波涨幅40%；汤姆猫单波涨幅35%-40%；掌阅科技、人民网等全部AIGC概念均已完成大幅拉升，无新驱动空间。</w:t>
      </w:r>
      <w:bookmarkEnd w:id="1009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8dfe5bc-5dd9-40ba-b82a-5c011b7f898b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核心交易哲学：卖是为了买 </w:t>
      </w:r>
      <w:bookmarkEnd w:id="101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0387168-d5cb-4cce-b4bc-5f81415a6283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行为本质类比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卖出=分手，买入=新恋情；必须先完成旧持仓的止损/清仓（分手），才能迎接新机会（新女友），顺序不可颠倒；道德瑕疵源于未切割即切换。</w:t>
      </w:r>
      <w:bookmarkEnd w:id="101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5522888-df68-423e-9153-7e5ffaee9dbe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操作指令具象化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“先把钱揣兜里”是2026年最高行动纲领；所有操作围绕资金保全展开，非为盈利，而为等待右侧信号。</w:t>
      </w:r>
      <w:bookmarkEnd w:id="101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a81f294-4774-4c54-a729-12fe88a6251b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技术面关键纪律：黄线法则 </w:t>
      </w:r>
      <w:bookmarkEnd w:id="101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5e58470-47a1-4890-a226-e360bb3af0e6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大盘预警机制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若明日反弹，黄线为强阻力位，跌破则确认弱势；若连续两日跌破黄线，必须立即离场，防范港股与A股双杀。</w:t>
      </w:r>
      <w:bookmarkEnd w:id="101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77b7de7-5580-4ef9-b9fa-ca9ae8a3cfc2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个股普适规则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波段操作：白线破位即走；B1建仓：黄线破位即止损；长线持有：仅适用于突破型标的（如比亚迪式烟花行情），其余一律按短线纪律执行。</w:t>
      </w:r>
      <w:bookmarkEnd w:id="101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3183075-b377-4d32-ac8f-fbd8610b605c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个股深度诊断：西电 vs 绿岛 vs 华兰 </w:t>
      </w:r>
      <w:bookmarkEnd w:id="101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88934d1-7f0e-4be2-ad3d-6b7e17caa2cb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西电：主升浪终结判定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前期无S1结构，突破后横盘于关键K线；当前未完成出货，但量能不足，任何上涨均为诱多；底仓建仓→脱离成本区→主升浪三阶段已完结；形态类比方正、风筝，属典型“主升浪没了”案例。</w:t>
      </w:r>
      <w:bookmarkEnd w:id="101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1dbd0e7-385b-4166-8fa0-793ff3378a81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绿岛：主力持续出货证据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周线级别回撤至关键支撑，但放量跌破黄线三次；从21元涨至82元后持续弱势下跌，专精图显示单边走弱；筹码理论证实高位无横盘，全程抛压，属“根号模型”出货态。</w:t>
      </w:r>
      <w:bookmarkEnd w:id="101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6edad4e-fcb1-4109-a723-c6bc1bb81fb7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华兰：高位横盘控盘确认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与绿岛单边下跌相反，华兰呈高位区间震荡；缩量横盘表明主力筹码锁定，无抛压；若突发放量长阴跌破黄线，则控盘失效，否则可维持震荡上行预期。</w:t>
      </w:r>
      <w:bookmarkEnd w:id="1019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0e32eec-cea0-4268-b3b4-c233d432e2e0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新能源电力替代逻辑 </w:t>
      </w:r>
      <w:bookmarkEnd w:id="102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6295b08-7201-4ec0-b896-5a0ee4e21ad0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地缘驱动叙事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石油被卡背景下，中国新能源（特高压、风电、电力）成为战略出口方向；目标市场为韩国、东南亚等石油依赖国；“插管式”电力出口构想强化板块消息面敏感性。</w:t>
      </w:r>
      <w:bookmarkEnd w:id="1021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d6688a8-d873-4f69-8fe4-de9209968fb6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两会行情彻底证伪 </w:t>
      </w:r>
      <w:bookmarkEnd w:id="1022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d20e766-2ee4-4c71-98dd-3f62eaac41a9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历史经验否定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多年实践表明两会无独立行情，资本借机裹挟政策预期；实际常于发布会结束时跳水，本质是预期兑现后的真空期。</w:t>
      </w:r>
      <w:bookmarkEnd w:id="102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20560c2-4fcb-4471-b284-b77cdcba68da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操作应对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活跃市值处于空头区间，原则为“多看少动”，仅允许小额试错，底仓必须严格遵循右侧破位即走纪律。</w:t>
      </w:r>
      <w:bookmarkEnd w:id="102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e7bb676-005f-4515-a05f-41d567964c80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终极操作铁律：拒绝中间态 </w:t>
      </w:r>
      <w:bookmarkEnd w:id="102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4d9bf83-20ac-4315-b186-9ec0f3c46eaf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策略二分法强制执行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交易者只能选择且仅能选择两种路径：① 长线——死守突破信号（如海光、中科曙光），目标为最终爆发；② 超短线——严格按黄线/白线纪律进出。任何试图兼顾长短、控制微波的中间策略，必然导致账户崩溃。</w:t>
      </w:r>
      <w:bookmarkEnd w:id="1026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d62c3dce9a454bbdacdbf3ce49d73c56" w:id="1027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27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2026-03-05T04:04:28Z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FT8bX6vPNlwo4GAnqF60ve96h0srkIa3sGF+0hCtSj4=","ProduceID":"ai_zongjie:bd6918dab492061b58fced6590f7e55e","ReservedCode2":"FT8bX6vPNlwo4GAnqF60ve96h0srkIa3sGF+0hCtSj4=","PropagateID":"ai_zongjie:bd6918dab492061b58fced6590f7e55e","ContentProducer":"001191440101MA9Y9T4H7A00000"}</vt:lpwstr>
  </property>
</Properties>
</file>